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8675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7D6F8D99" w14:textId="77777777" w:rsidR="00024A47" w:rsidRPr="00024A47" w:rsidRDefault="00024A47">
      <w:pPr>
        <w:spacing w:after="140"/>
        <w:jc w:val="center"/>
        <w:rPr>
          <w:rFonts w:ascii="Courier New" w:hAnsi="Courier New" w:cs="Courier New"/>
          <w:b/>
          <w:sz w:val="22"/>
        </w:rPr>
      </w:pPr>
    </w:p>
    <w:p w14:paraId="6EE21F1E" w14:textId="0AFF410F"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72FA0717" w14:textId="77777777" w:rsidR="00566B6A" w:rsidRPr="00024A47" w:rsidRDefault="00566B6A" w:rsidP="00566B6A">
      <w:pPr>
        <w:spacing w:after="0"/>
        <w:jc w:val="center"/>
        <w:rPr>
          <w:rFonts w:ascii="Courier New" w:hAnsi="Courier New" w:cs="Courier New"/>
          <w:bCs/>
          <w:sz w:val="22"/>
        </w:rPr>
      </w:pPr>
    </w:p>
    <w:p w14:paraId="73D0B4E9"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28B947F5" w14:textId="2BAD2651"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670A387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0E257C3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Kansas (KS)</w:t>
      </w:r>
    </w:p>
    <w:p w14:paraId="4F19E513"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2F75E71D"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9301BE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25AA402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Kansas Consumer Protection Act (KCPA)</w:t>
      </w:r>
    </w:p>
    <w:p w14:paraId="0F6B37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K.S.A. §§ 50-623 through 50-643</w:t>
      </w:r>
    </w:p>
    <w:p w14:paraId="1F3A8A6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deceptive and unconscionable acts or practices by suppliers in connection with consumer transactions. The Act is construed liberally to protect consumers and applies to conduct occurring before, during, or after a qualifying transaction.</w:t>
      </w:r>
    </w:p>
    <w:p w14:paraId="23DD16B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Under K.S.A. § 50-634, an aggrieved consumer may seek declaratory or injunctive relief and may recover damages or a civil penalty under § 50-636(a), whichever is greater. The civil penalty may be set at not more than $10,000 per violation. Reasonable attorney’s fees may be awarded to a prevailing consumer as authorized; the Attorney General may seek injunction, restitution, receivership, civil penalties, and related relief.</w:t>
      </w:r>
    </w:p>
    <w:p w14:paraId="73BC6CB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authorized by K.S.A. § 50-634. A private claimant should document consumer and supplier status, a consumer transaction, the deceptive or unconscionable practice, a causal connection, and loss or injury showing the consumer was aggrieved. K.S.A. § 60-512 generally provides a three-year period for a liability created by statute other than a penalty or forfeiture, subject to accrual, remedy, and claim-specific analysis.</w:t>
      </w:r>
    </w:p>
    <w:p w14:paraId="1EA4E38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Kansas Attorney General — Consumer Protection Division; K.S.A. § 50-628.</w:t>
      </w:r>
    </w:p>
    <w:p w14:paraId="36B9B3E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0D3729B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Consumer-credit or collection activity present — review the Kansas Uniform Consumer Credit Code remedies and penalties, the KCPA, and federal debt-collection law.</w:t>
      </w:r>
    </w:p>
    <w:p w14:paraId="18481C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Overview: K.S.A. §§ 16a-5-101 through 16a-5-303 form the remedies-and-penalties article of the Kansas Uniform Consumer Credit Code. The article addresses unenforceable credit, </w:t>
      </w:r>
      <w:r w:rsidRPr="00566B6A">
        <w:rPr>
          <w:rFonts w:ascii="Courier New" w:hAnsi="Courier New" w:cs="Courier New"/>
          <w:bCs/>
          <w:sz w:val="22"/>
        </w:rPr>
        <w:lastRenderedPageBreak/>
        <w:t>unconscionability, default and cure, effects of violations, refunds, penalties, disclosure liability, and criminal penalties. The KCPA may separately reach qualifying debt-collection conduct, and the federal FDCPA governs qualifying debt collectors.</w:t>
      </w:r>
    </w:p>
    <w:p w14:paraId="218AD34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K.S.A. §§ 16a-5-101 through 16a-5-303; 15 U.S.C. §§ 1692 through 1692p.</w:t>
      </w:r>
    </w:p>
    <w:p w14:paraId="65D8AF3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Kansas Office of the State Bank Commissioner, including the Consumer Credit Commissioner; Kansas Attorney General; CFPB and FTC where federal jurisdiction applies.</w:t>
      </w:r>
    </w:p>
    <w:p w14:paraId="44C7FD4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474C23C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Kansas maintains a state Fair Credit Reporting Act at K.S.A. §§ 50-701 through 50-725. It includes permissible-purpose, disclosure, disputed-accuracy, civil-liability, enforcement, security-freeze, and protected-consumer provisions. Federal FCRA duties and preemption must be analyzed together with the Kansas provisions.</w:t>
      </w:r>
    </w:p>
    <w:p w14:paraId="4F0619E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Kansas consumers may place, temporarily lift, or remove a security freeze under K.S.A. § 50-723. Exceptions appear in § 50-724, and protected-consumer freezes are addressed in § 50-725.</w:t>
      </w:r>
    </w:p>
    <w:p w14:paraId="381BC5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obtain file disclosures under the federal FCRA and K.S.A. §§ 50-708 through 50-709 and may use Kansas security-freeze procedures to restrict specified releases of consumer reports.</w:t>
      </w:r>
    </w:p>
    <w:p w14:paraId="1C7857E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K.S.A. § 50-710 provides a state procedure when a consumer disputes the completeness or accuracy of information in a consumer report, including reinvestigation and a statement-of-dispute procedure. Federal rights under 15 U.S.C. § 1681i apply concurrently, subject to preemption and claim-specific analysis.</w:t>
      </w:r>
    </w:p>
    <w:p w14:paraId="4FD0D9D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Initial and extended fraud alerts arise principally under federal law. Kansas supplements identity protection through security freezes, protected-consumer freezes, identity-theft criminal law, and breach-notification procedures.</w:t>
      </w:r>
    </w:p>
    <w:p w14:paraId="1A40D0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K.S.A. §§ 50-715 and 50-716 provide damages, costs, and attorney’s fees for qualifying willful or negligent noncompliance with §§ 50-701 through 50-722, with punitive damages available for willful violations. Section 50-717 generally provides a two-year limitations period. Section 50-723 separately provides remedies for qualifying freeze violations.</w:t>
      </w:r>
    </w:p>
    <w:p w14:paraId="4389244A"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7F420F48"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Information covered by the consumer file: Under 15 U.S.C. § 1681a(g), a consumer “file” includes all information about the consumer recorded and retained by a consumer reporting agency, regardless of storage method. This permits a consumer to dispute personal identifiers </w:t>
      </w:r>
      <w:r w:rsidRPr="00566B6A">
        <w:rPr>
          <w:rFonts w:ascii="Courier New" w:hAnsi="Courier New" w:cs="Courier New"/>
          <w:bCs/>
          <w:sz w:val="22"/>
        </w:rPr>
        <w:lastRenderedPageBreak/>
        <w:t>retained in the file, including names, current or former addresses, telephone numbers, and past or present employer information.</w:t>
      </w:r>
    </w:p>
    <w:p w14:paraId="24514C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5DF629C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47ADE7AD"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759DA1A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3B4F5A4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6E477B7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75828A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Correct route for address, telephone, and employer disputes: Regulation V, 12 C.F.R. § 1022.43(b)(1)(i)–(ii), excludes identifying information such as telephone numbers and </w:t>
      </w:r>
      <w:r w:rsidRPr="00566B6A">
        <w:rPr>
          <w:rFonts w:ascii="Courier New" w:hAnsi="Courier New" w:cs="Courier New"/>
          <w:bCs/>
          <w:sz w:val="22"/>
        </w:rPr>
        <w:lastRenderedPageBreak/>
        <w:t>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1C1C269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7F0086B4"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23C952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793323C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and identity fraud: K.S.A. § 21-6107 criminalizes specified obtaining, possessing, transferring, using, selling, or purchasing of another person’s identifying information with intent to defraud, obtain a benefit, or cause economic or bodily harm, and separately addresses identity fraud involving false or altered identifying documents.</w:t>
      </w:r>
    </w:p>
    <w:p w14:paraId="39F079F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Consumer-protection connection: Kansas identity-theft conduct may also support documentation for KCPA and federal FCRA procedures when the facts involve consumer transactions, deceptive conduct, fraudulent accounts, mixed files, or unauthorized credit activity.</w:t>
      </w:r>
    </w:p>
    <w:p w14:paraId="59849994"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Restoration may involve police and FTC identity-theft reports, federal fraud alerts and blocking, Kansas security freezes, creditor notifications, and documented bureau disputes.</w:t>
      </w:r>
    </w:p>
    <w:p w14:paraId="4F04A5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Maintain police reports, FTC IdentityTheft.gov reports, freeze confirmations, creditor notices, bureau dispute and blocking responses, court records, and agency confirmation numbers.</w:t>
      </w:r>
    </w:p>
    <w:p w14:paraId="0043491D"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058830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 xml:space="preserve">Breach notice: K.S.A. § 50-7a02 requires a covered person, business, or government entity to conduct a prompt good-faith investigation and notify affected Kansas residents when misuse has </w:t>
      </w:r>
      <w:r w:rsidRPr="00566B6A">
        <w:rPr>
          <w:rFonts w:ascii="Courier New" w:hAnsi="Courier New" w:cs="Courier New"/>
          <w:bCs/>
          <w:sz w:val="22"/>
        </w:rPr>
        <w:lastRenderedPageBreak/>
        <w:t>occurred or is reasonably likely. Notice must be given as soon as possible and without unreasonable delay, subject to law-enforcement and system-restoration needs.</w:t>
      </w:r>
    </w:p>
    <w:p w14:paraId="4EA669F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Kansas consumer-information breach provisions are codified at K.S.A. §§ 50-7a01 through 50-7a04, with the principal definitions and notice duties in §§ 50-7a01 and 50-7a02.</w:t>
      </w:r>
    </w:p>
    <w:p w14:paraId="613B540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No general omnibus Kansas consumer-data privacy act was identified for this module; sector-specific Kansas and federal privacy laws may apply depending on the entity and data involved.</w:t>
      </w:r>
    </w:p>
    <w:p w14:paraId="3C14B9E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investigation findings, affected data elements, resident notices, delivery dates, nationwide-consumer-reporting-agency notices when required, law-enforcement delay requests, regulator communications, and remediation records.</w:t>
      </w:r>
    </w:p>
    <w:p w14:paraId="022D002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136BB03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Kansas Attorney General — Consumer Protection Division: Consumer complaint intake, investigation, education, and KCPA enforcement.</w:t>
      </w:r>
    </w:p>
    <w:p w14:paraId="2553CB8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Kansas Office of the State Bank Commissioner / Consumer Credit Commissioner: Administration and enforcement of the Uniform Consumer Credit Code and Kansas Fair Credit Reporting Act within statutory jurisdiction.</w:t>
      </w:r>
    </w:p>
    <w:p w14:paraId="1AB2F41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Kansas OSBC license and institution lookup: Preserve dated search results, license details, and complaint identifiers.</w:t>
      </w:r>
    </w:p>
    <w:p w14:paraId="5E4A391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607C3BE8"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1913215B"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the controlling authority for credit-reporting disputes; none are identified as directly applicable in Kansas without municipal verification.</w:t>
      </w:r>
    </w:p>
    <w:p w14:paraId="0E67A78E" w14:textId="77777777" w:rsidR="00566B6A" w:rsidRPr="00566B6A" w:rsidRDefault="00566B6A" w:rsidP="00566B6A">
      <w:pPr>
        <w:spacing w:after="0"/>
        <w:rPr>
          <w:rFonts w:ascii="Courier New" w:hAnsi="Courier New" w:cs="Courier New"/>
          <w:bCs/>
          <w:sz w:val="22"/>
        </w:rPr>
      </w:pPr>
    </w:p>
    <w:p w14:paraId="0DF34D05"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68DB9D13" w14:textId="77777777">
        <w:trPr>
          <w:cantSplit/>
          <w:tblHeader/>
          <w:jc w:val="center"/>
        </w:trPr>
        <w:tc>
          <w:tcPr>
            <w:tcW w:w="1440" w:type="dxa"/>
            <w:shd w:val="clear" w:color="auto" w:fill="D9EAF7"/>
            <w:tcMar>
              <w:top w:w="55" w:type="dxa"/>
              <w:left w:w="55" w:type="dxa"/>
              <w:bottom w:w="55" w:type="dxa"/>
              <w:right w:w="55" w:type="dxa"/>
            </w:tcMar>
            <w:vAlign w:val="center"/>
          </w:tcPr>
          <w:p w14:paraId="49DE6BB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74D64BF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5C2CA3A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78E6F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6E5909D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6FE1F95B" w14:textId="77777777">
        <w:trPr>
          <w:cantSplit/>
          <w:jc w:val="center"/>
        </w:trPr>
        <w:tc>
          <w:tcPr>
            <w:tcW w:w="1440" w:type="dxa"/>
            <w:tcMar>
              <w:top w:w="50" w:type="dxa"/>
              <w:left w:w="55" w:type="dxa"/>
              <w:bottom w:w="50" w:type="dxa"/>
              <w:right w:w="55" w:type="dxa"/>
            </w:tcMar>
          </w:tcPr>
          <w:p w14:paraId="4C25DA9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34084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K.S.A. §§ 50-623–643</w:t>
            </w:r>
          </w:p>
        </w:tc>
        <w:tc>
          <w:tcPr>
            <w:tcW w:w="3168" w:type="dxa"/>
            <w:tcMar>
              <w:top w:w="50" w:type="dxa"/>
              <w:left w:w="55" w:type="dxa"/>
              <w:bottom w:w="50" w:type="dxa"/>
              <w:right w:w="55" w:type="dxa"/>
            </w:tcMar>
          </w:tcPr>
          <w:p w14:paraId="3D24A6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KCPA — deceptive or unconscionable consumer practices</w:t>
            </w:r>
          </w:p>
        </w:tc>
        <w:tc>
          <w:tcPr>
            <w:tcW w:w="3456" w:type="dxa"/>
            <w:tcMar>
              <w:top w:w="50" w:type="dxa"/>
              <w:left w:w="55" w:type="dxa"/>
              <w:bottom w:w="50" w:type="dxa"/>
              <w:right w:w="55" w:type="dxa"/>
            </w:tcMar>
          </w:tcPr>
          <w:p w14:paraId="420169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Declaratory/injunctive relief; damages or up to $10,000 civil penalty; fees; public restitution and penalties</w:t>
            </w:r>
          </w:p>
        </w:tc>
        <w:tc>
          <w:tcPr>
            <w:tcW w:w="3888" w:type="dxa"/>
            <w:tcMar>
              <w:top w:w="50" w:type="dxa"/>
              <w:left w:w="55" w:type="dxa"/>
              <w:bottom w:w="50" w:type="dxa"/>
              <w:right w:w="55" w:type="dxa"/>
            </w:tcMar>
          </w:tcPr>
          <w:p w14:paraId="4B46A2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Consumer/supplier status; transaction; representation or conduct; causation; injury; remedy; timing</w:t>
            </w:r>
          </w:p>
        </w:tc>
      </w:tr>
      <w:tr w:rsidR="00756B19" w:rsidRPr="00566B6A" w14:paraId="2B74E5E6" w14:textId="77777777">
        <w:trPr>
          <w:cantSplit/>
          <w:jc w:val="center"/>
        </w:trPr>
        <w:tc>
          <w:tcPr>
            <w:tcW w:w="1440" w:type="dxa"/>
            <w:shd w:val="clear" w:color="auto" w:fill="F7FAFC"/>
            <w:tcMar>
              <w:top w:w="50" w:type="dxa"/>
              <w:left w:w="55" w:type="dxa"/>
              <w:bottom w:w="50" w:type="dxa"/>
              <w:right w:w="55" w:type="dxa"/>
            </w:tcMar>
          </w:tcPr>
          <w:p w14:paraId="4B27FD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Statute/Act</w:t>
            </w:r>
          </w:p>
        </w:tc>
        <w:tc>
          <w:tcPr>
            <w:tcW w:w="2448" w:type="dxa"/>
            <w:shd w:val="clear" w:color="auto" w:fill="F7FAFC"/>
            <w:tcMar>
              <w:top w:w="50" w:type="dxa"/>
              <w:left w:w="55" w:type="dxa"/>
              <w:bottom w:w="50" w:type="dxa"/>
              <w:right w:w="55" w:type="dxa"/>
            </w:tcMar>
          </w:tcPr>
          <w:p w14:paraId="583282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K.S.A. §§ 16a-5-101–303</w:t>
            </w:r>
          </w:p>
        </w:tc>
        <w:tc>
          <w:tcPr>
            <w:tcW w:w="3168" w:type="dxa"/>
            <w:shd w:val="clear" w:color="auto" w:fill="F7FAFC"/>
            <w:tcMar>
              <w:top w:w="50" w:type="dxa"/>
              <w:left w:w="55" w:type="dxa"/>
              <w:bottom w:w="50" w:type="dxa"/>
              <w:right w:w="55" w:type="dxa"/>
            </w:tcMar>
          </w:tcPr>
          <w:p w14:paraId="24C0DB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UCCC remedies and penalties for consumer-credit transactions</w:t>
            </w:r>
          </w:p>
        </w:tc>
        <w:tc>
          <w:tcPr>
            <w:tcW w:w="3456" w:type="dxa"/>
            <w:shd w:val="clear" w:color="auto" w:fill="F7FAFC"/>
            <w:tcMar>
              <w:top w:w="50" w:type="dxa"/>
              <w:left w:w="55" w:type="dxa"/>
              <w:bottom w:w="50" w:type="dxa"/>
              <w:right w:w="55" w:type="dxa"/>
            </w:tcMar>
          </w:tcPr>
          <w:p w14:paraId="15B14E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Cure, unenforceability, setoff, refunds, disclosure liability, and enforcement where authorized</w:t>
            </w:r>
          </w:p>
        </w:tc>
        <w:tc>
          <w:tcPr>
            <w:tcW w:w="3888" w:type="dxa"/>
            <w:shd w:val="clear" w:color="auto" w:fill="F7FAFC"/>
            <w:tcMar>
              <w:top w:w="50" w:type="dxa"/>
              <w:left w:w="55" w:type="dxa"/>
              <w:bottom w:w="50" w:type="dxa"/>
              <w:right w:w="55" w:type="dxa"/>
            </w:tcMar>
          </w:tcPr>
          <w:p w14:paraId="4E12348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Agreement; disclosures; account ledger; default/cure; charges; payments; damages and remedy analysis</w:t>
            </w:r>
          </w:p>
        </w:tc>
      </w:tr>
      <w:tr w:rsidR="00756B19" w:rsidRPr="00566B6A" w14:paraId="2E7F3F76" w14:textId="77777777">
        <w:trPr>
          <w:cantSplit/>
          <w:jc w:val="center"/>
        </w:trPr>
        <w:tc>
          <w:tcPr>
            <w:tcW w:w="1440" w:type="dxa"/>
            <w:tcMar>
              <w:top w:w="50" w:type="dxa"/>
              <w:left w:w="55" w:type="dxa"/>
              <w:bottom w:w="50" w:type="dxa"/>
              <w:right w:w="55" w:type="dxa"/>
            </w:tcMar>
          </w:tcPr>
          <w:p w14:paraId="3EA462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35FC5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K.S.A. §§ 50-701–725</w:t>
            </w:r>
          </w:p>
        </w:tc>
        <w:tc>
          <w:tcPr>
            <w:tcW w:w="3168" w:type="dxa"/>
            <w:tcMar>
              <w:top w:w="50" w:type="dxa"/>
              <w:left w:w="55" w:type="dxa"/>
              <w:bottom w:w="50" w:type="dxa"/>
              <w:right w:w="55" w:type="dxa"/>
            </w:tcMar>
          </w:tcPr>
          <w:p w14:paraId="4C2BDF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fair-credit-reporting, dispute, liability, and security-freeze rights</w:t>
            </w:r>
          </w:p>
        </w:tc>
        <w:tc>
          <w:tcPr>
            <w:tcW w:w="3456" w:type="dxa"/>
            <w:tcMar>
              <w:top w:w="50" w:type="dxa"/>
              <w:left w:w="55" w:type="dxa"/>
              <w:bottom w:w="50" w:type="dxa"/>
              <w:right w:w="55" w:type="dxa"/>
            </w:tcMar>
          </w:tcPr>
          <w:p w14:paraId="4A37E8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Reinvestigation/dispute statement; actual and punitive damages where authorized; costs, fees, freeze relief</w:t>
            </w:r>
          </w:p>
        </w:tc>
        <w:tc>
          <w:tcPr>
            <w:tcW w:w="3888" w:type="dxa"/>
            <w:tcMar>
              <w:top w:w="50" w:type="dxa"/>
              <w:left w:w="55" w:type="dxa"/>
              <w:bottom w:w="50" w:type="dxa"/>
              <w:right w:w="55" w:type="dxa"/>
            </w:tcMar>
          </w:tcPr>
          <w:p w14:paraId="5DF22B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Report page; disclosure; dispute/source evidence; reinvestigation; freeze and release records</w:t>
            </w:r>
          </w:p>
        </w:tc>
      </w:tr>
      <w:tr w:rsidR="00756B19" w:rsidRPr="00566B6A" w14:paraId="7D717879" w14:textId="77777777">
        <w:trPr>
          <w:cantSplit/>
          <w:jc w:val="center"/>
        </w:trPr>
        <w:tc>
          <w:tcPr>
            <w:tcW w:w="1440" w:type="dxa"/>
            <w:shd w:val="clear" w:color="auto" w:fill="F7FAFC"/>
            <w:tcMar>
              <w:top w:w="50" w:type="dxa"/>
              <w:left w:w="55" w:type="dxa"/>
              <w:bottom w:w="50" w:type="dxa"/>
              <w:right w:w="55" w:type="dxa"/>
            </w:tcMar>
          </w:tcPr>
          <w:p w14:paraId="62B252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6E069C8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K.S.A. §§ 50-7a01–7a04</w:t>
            </w:r>
          </w:p>
        </w:tc>
        <w:tc>
          <w:tcPr>
            <w:tcW w:w="3168" w:type="dxa"/>
            <w:shd w:val="clear" w:color="auto" w:fill="F7FAFC"/>
            <w:tcMar>
              <w:top w:w="50" w:type="dxa"/>
              <w:left w:w="55" w:type="dxa"/>
              <w:bottom w:w="50" w:type="dxa"/>
              <w:right w:w="55" w:type="dxa"/>
            </w:tcMar>
          </w:tcPr>
          <w:p w14:paraId="0EAFB24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Consumer-information breach investigation and notice</w:t>
            </w:r>
          </w:p>
        </w:tc>
        <w:tc>
          <w:tcPr>
            <w:tcW w:w="3456" w:type="dxa"/>
            <w:shd w:val="clear" w:color="auto" w:fill="F7FAFC"/>
            <w:tcMar>
              <w:top w:w="50" w:type="dxa"/>
              <w:left w:w="55" w:type="dxa"/>
              <w:bottom w:w="50" w:type="dxa"/>
              <w:right w:w="55" w:type="dxa"/>
            </w:tcMar>
          </w:tcPr>
          <w:p w14:paraId="0556E8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Required resident/CRA notice and AG or Insurance Commissioner enforcement</w:t>
            </w:r>
          </w:p>
        </w:tc>
        <w:tc>
          <w:tcPr>
            <w:tcW w:w="3888" w:type="dxa"/>
            <w:shd w:val="clear" w:color="auto" w:fill="F7FAFC"/>
            <w:tcMar>
              <w:top w:w="50" w:type="dxa"/>
              <w:left w:w="55" w:type="dxa"/>
              <w:bottom w:w="50" w:type="dxa"/>
              <w:right w:w="55" w:type="dxa"/>
            </w:tcMar>
          </w:tcPr>
          <w:p w14:paraId="72352F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findings; dates; affected data; notices; delay request; remediation</w:t>
            </w:r>
          </w:p>
        </w:tc>
      </w:tr>
      <w:tr w:rsidR="00756B19" w:rsidRPr="00566B6A" w14:paraId="78460C98" w14:textId="77777777">
        <w:trPr>
          <w:cantSplit/>
          <w:jc w:val="center"/>
        </w:trPr>
        <w:tc>
          <w:tcPr>
            <w:tcW w:w="1440" w:type="dxa"/>
            <w:tcMar>
              <w:top w:w="50" w:type="dxa"/>
              <w:left w:w="55" w:type="dxa"/>
              <w:bottom w:w="50" w:type="dxa"/>
              <w:right w:w="55" w:type="dxa"/>
            </w:tcMar>
          </w:tcPr>
          <w:p w14:paraId="0527A8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5D7167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K.S.A. § 21-6107</w:t>
            </w:r>
          </w:p>
        </w:tc>
        <w:tc>
          <w:tcPr>
            <w:tcW w:w="3168" w:type="dxa"/>
            <w:tcMar>
              <w:top w:w="50" w:type="dxa"/>
              <w:left w:w="55" w:type="dxa"/>
              <w:bottom w:w="50" w:type="dxa"/>
              <w:right w:w="55" w:type="dxa"/>
            </w:tcMar>
          </w:tcPr>
          <w:p w14:paraId="629969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identity fraud</w:t>
            </w:r>
          </w:p>
        </w:tc>
        <w:tc>
          <w:tcPr>
            <w:tcW w:w="3456" w:type="dxa"/>
            <w:tcMar>
              <w:top w:w="50" w:type="dxa"/>
              <w:left w:w="55" w:type="dxa"/>
              <w:bottom w:w="50" w:type="dxa"/>
              <w:right w:w="55" w:type="dxa"/>
            </w:tcMar>
          </w:tcPr>
          <w:p w14:paraId="3282C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and identity-restoration documentation</w:t>
            </w:r>
          </w:p>
        </w:tc>
        <w:tc>
          <w:tcPr>
            <w:tcW w:w="3888" w:type="dxa"/>
            <w:tcMar>
              <w:top w:w="50" w:type="dxa"/>
              <w:left w:w="55" w:type="dxa"/>
              <w:bottom w:w="50" w:type="dxa"/>
              <w:right w:w="55" w:type="dxa"/>
            </w:tcMar>
          </w:tcPr>
          <w:p w14:paraId="5D0DDF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fraudulent items; creditor/bureau notices; loss trail</w:t>
            </w:r>
          </w:p>
        </w:tc>
      </w:tr>
      <w:tr w:rsidR="00756B19" w:rsidRPr="00566B6A" w14:paraId="4D1F75C6" w14:textId="77777777">
        <w:trPr>
          <w:cantSplit/>
          <w:jc w:val="center"/>
        </w:trPr>
        <w:tc>
          <w:tcPr>
            <w:tcW w:w="1440" w:type="dxa"/>
            <w:shd w:val="clear" w:color="auto" w:fill="F7FAFC"/>
            <w:tcMar>
              <w:top w:w="50" w:type="dxa"/>
              <w:left w:w="55" w:type="dxa"/>
              <w:bottom w:w="50" w:type="dxa"/>
              <w:right w:w="55" w:type="dxa"/>
            </w:tcMar>
          </w:tcPr>
          <w:p w14:paraId="325E24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0A71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Kansas AG — Consumer Protection Division</w:t>
            </w:r>
          </w:p>
        </w:tc>
        <w:tc>
          <w:tcPr>
            <w:tcW w:w="3168" w:type="dxa"/>
            <w:shd w:val="clear" w:color="auto" w:fill="F7FAFC"/>
            <w:tcMar>
              <w:top w:w="50" w:type="dxa"/>
              <w:left w:w="55" w:type="dxa"/>
              <w:bottom w:w="50" w:type="dxa"/>
              <w:right w:w="55" w:type="dxa"/>
            </w:tcMar>
          </w:tcPr>
          <w:p w14:paraId="050C794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complaint intake and KCPA enforcement</w:t>
            </w:r>
          </w:p>
        </w:tc>
        <w:tc>
          <w:tcPr>
            <w:tcW w:w="3456" w:type="dxa"/>
            <w:shd w:val="clear" w:color="auto" w:fill="F7FAFC"/>
            <w:tcMar>
              <w:top w:w="50" w:type="dxa"/>
              <w:left w:w="55" w:type="dxa"/>
              <w:bottom w:w="50" w:type="dxa"/>
              <w:right w:w="55" w:type="dxa"/>
            </w:tcMar>
          </w:tcPr>
          <w:p w14:paraId="4A945F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assurance, injunction, restitution, receivership, penalties, or civil enforcement</w:t>
            </w:r>
          </w:p>
        </w:tc>
        <w:tc>
          <w:tcPr>
            <w:tcW w:w="3888" w:type="dxa"/>
            <w:shd w:val="clear" w:color="auto" w:fill="F7FAFC"/>
            <w:tcMar>
              <w:top w:w="50" w:type="dxa"/>
              <w:left w:w="55" w:type="dxa"/>
              <w:bottom w:w="50" w:type="dxa"/>
              <w:right w:w="55" w:type="dxa"/>
            </w:tcMar>
          </w:tcPr>
          <w:p w14:paraId="391A9DA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business response; agency correspondence; chronology</w:t>
            </w:r>
          </w:p>
        </w:tc>
      </w:tr>
      <w:tr w:rsidR="00756B19" w:rsidRPr="00566B6A" w14:paraId="41D89716" w14:textId="77777777">
        <w:trPr>
          <w:cantSplit/>
          <w:jc w:val="center"/>
        </w:trPr>
        <w:tc>
          <w:tcPr>
            <w:tcW w:w="1440" w:type="dxa"/>
            <w:tcMar>
              <w:top w:w="50" w:type="dxa"/>
              <w:left w:w="55" w:type="dxa"/>
              <w:bottom w:w="50" w:type="dxa"/>
              <w:right w:w="55" w:type="dxa"/>
            </w:tcMar>
          </w:tcPr>
          <w:p w14:paraId="4AF5F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5A633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Kansas OSBC / Consumer Credit Commissioner</w:t>
            </w:r>
          </w:p>
        </w:tc>
        <w:tc>
          <w:tcPr>
            <w:tcW w:w="3168" w:type="dxa"/>
            <w:tcMar>
              <w:top w:w="50" w:type="dxa"/>
              <w:left w:w="55" w:type="dxa"/>
              <w:bottom w:w="50" w:type="dxa"/>
              <w:right w:w="55" w:type="dxa"/>
            </w:tcMar>
          </w:tcPr>
          <w:p w14:paraId="2A65D6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UCCC and Kansas fair-credit-reporting supervision</w:t>
            </w:r>
          </w:p>
        </w:tc>
        <w:tc>
          <w:tcPr>
            <w:tcW w:w="3456" w:type="dxa"/>
            <w:tcMar>
              <w:top w:w="50" w:type="dxa"/>
              <w:left w:w="55" w:type="dxa"/>
              <w:bottom w:w="50" w:type="dxa"/>
              <w:right w:w="55" w:type="dxa"/>
            </w:tcMar>
          </w:tcPr>
          <w:p w14:paraId="1FEB22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review, examination, rulemaking, referral, and administrative action where authorized</w:t>
            </w:r>
          </w:p>
        </w:tc>
        <w:tc>
          <w:tcPr>
            <w:tcW w:w="3888" w:type="dxa"/>
            <w:tcMar>
              <w:top w:w="50" w:type="dxa"/>
              <w:left w:w="55" w:type="dxa"/>
              <w:bottom w:w="50" w:type="dxa"/>
              <w:right w:w="55" w:type="dxa"/>
            </w:tcMar>
          </w:tcPr>
          <w:p w14:paraId="1A9ADB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 lookup; complaint file; account/report records; agency response</w:t>
            </w:r>
          </w:p>
        </w:tc>
      </w:tr>
      <w:tr w:rsidR="00756B19" w:rsidRPr="00566B6A" w14:paraId="2D9A5252" w14:textId="77777777">
        <w:trPr>
          <w:cantSplit/>
          <w:jc w:val="center"/>
        </w:trPr>
        <w:tc>
          <w:tcPr>
            <w:tcW w:w="1440" w:type="dxa"/>
            <w:shd w:val="clear" w:color="auto" w:fill="F7FAFC"/>
            <w:tcMar>
              <w:top w:w="50" w:type="dxa"/>
              <w:left w:w="55" w:type="dxa"/>
              <w:bottom w:w="50" w:type="dxa"/>
              <w:right w:w="55" w:type="dxa"/>
            </w:tcMar>
          </w:tcPr>
          <w:p w14:paraId="2D28F3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1703B4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0438C3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codes</w:t>
            </w:r>
          </w:p>
        </w:tc>
        <w:tc>
          <w:tcPr>
            <w:tcW w:w="3456" w:type="dxa"/>
            <w:shd w:val="clear" w:color="auto" w:fill="F7FAFC"/>
            <w:tcMar>
              <w:top w:w="50" w:type="dxa"/>
              <w:left w:w="55" w:type="dxa"/>
              <w:bottom w:w="50" w:type="dxa"/>
              <w:right w:w="55" w:type="dxa"/>
            </w:tcMar>
          </w:tcPr>
          <w:p w14:paraId="10A252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3E49BB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Kansas and federal frameworks</w:t>
            </w:r>
          </w:p>
        </w:tc>
      </w:tr>
      <w:tr w:rsidR="00756B19" w:rsidRPr="00566B6A" w14:paraId="11219014" w14:textId="77777777">
        <w:trPr>
          <w:jc w:val="center"/>
        </w:trPr>
        <w:tc>
          <w:tcPr>
            <w:tcW w:w="1440" w:type="dxa"/>
          </w:tcPr>
          <w:p w14:paraId="1454D0C9"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14DA5CF4" w14:textId="77777777" w:rsidR="00756B19" w:rsidRPr="00566B6A" w:rsidRDefault="00F247EE">
            <w:pPr>
              <w:rPr>
                <w:rFonts w:ascii="Courier New" w:hAnsi="Courier New" w:cs="Courier New"/>
                <w:sz w:val="22"/>
              </w:rPr>
            </w:pPr>
            <w:r w:rsidRPr="00566B6A">
              <w:rPr>
                <w:rFonts w:ascii="Courier New" w:hAnsi="Courier New" w:cs="Courier New"/>
                <w:sz w:val="22"/>
              </w:rPr>
              <w:t xml:space="preserve">15 U.S.C. §§ 1681a(g), </w:t>
            </w:r>
            <w:r w:rsidRPr="00566B6A">
              <w:rPr>
                <w:rFonts w:ascii="Courier New" w:hAnsi="Courier New" w:cs="Courier New"/>
                <w:sz w:val="22"/>
              </w:rPr>
              <w:lastRenderedPageBreak/>
              <w:t>1681e(b), 1681g(a), 1681i(a), (d)</w:t>
            </w:r>
          </w:p>
        </w:tc>
        <w:tc>
          <w:tcPr>
            <w:tcW w:w="3168" w:type="dxa"/>
          </w:tcPr>
          <w:p w14:paraId="182CBD62"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Personal identifiers and employer </w:t>
            </w:r>
            <w:r w:rsidRPr="00566B6A">
              <w:rPr>
                <w:rFonts w:ascii="Courier New" w:hAnsi="Courier New" w:cs="Courier New"/>
                <w:sz w:val="22"/>
              </w:rPr>
              <w:lastRenderedPageBreak/>
              <w:t>information in the consumer file; disclosure, accuracy, reinvestigation, correction, and deletion</w:t>
            </w:r>
          </w:p>
        </w:tc>
        <w:tc>
          <w:tcPr>
            <w:tcW w:w="3456" w:type="dxa"/>
          </w:tcPr>
          <w:p w14:paraId="076A09AF"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Free reasonable reinvestigation; revised </w:t>
            </w:r>
            <w:r w:rsidRPr="00566B6A">
              <w:rPr>
                <w:rFonts w:ascii="Courier New" w:hAnsi="Courier New" w:cs="Courier New"/>
                <w:sz w:val="22"/>
              </w:rPr>
              <w:lastRenderedPageBreak/>
              <w:t>report; prompt deletion or modification of inaccurate, incomplete, or unverifiable information; reinsertion safeguards</w:t>
            </w:r>
          </w:p>
        </w:tc>
        <w:tc>
          <w:tcPr>
            <w:tcW w:w="3888" w:type="dxa"/>
          </w:tcPr>
          <w:p w14:paraId="0A023114"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 xml:space="preserve">Credit-report page; proof of identity/current </w:t>
            </w:r>
            <w:r w:rsidRPr="00566B6A">
              <w:rPr>
                <w:rFonts w:ascii="Courier New" w:hAnsi="Courier New" w:cs="Courier New"/>
                <w:sz w:val="22"/>
              </w:rPr>
              <w:lastRenderedPageBreak/>
              <w:t>address; employer records; source request; dispute confirmation; revised report</w:t>
            </w:r>
          </w:p>
        </w:tc>
      </w:tr>
      <w:tr w:rsidR="00756B19" w:rsidRPr="00566B6A" w14:paraId="01D15742" w14:textId="77777777">
        <w:trPr>
          <w:jc w:val="center"/>
        </w:trPr>
        <w:tc>
          <w:tcPr>
            <w:tcW w:w="1440" w:type="dxa"/>
          </w:tcPr>
          <w:p w14:paraId="4FA11180" w14:textId="77777777" w:rsidR="00756B19" w:rsidRPr="00566B6A" w:rsidRDefault="00F247EE">
            <w:pPr>
              <w:rPr>
                <w:rFonts w:ascii="Courier New" w:hAnsi="Courier New" w:cs="Courier New"/>
                <w:sz w:val="22"/>
              </w:rPr>
            </w:pPr>
            <w:r w:rsidRPr="00566B6A">
              <w:rPr>
                <w:rFonts w:ascii="Courier New" w:hAnsi="Courier New" w:cs="Courier New"/>
                <w:sz w:val="22"/>
              </w:rPr>
              <w:lastRenderedPageBreak/>
              <w:t>Federal Statute</w:t>
            </w:r>
          </w:p>
        </w:tc>
        <w:tc>
          <w:tcPr>
            <w:tcW w:w="2448" w:type="dxa"/>
          </w:tcPr>
          <w:p w14:paraId="71294B37"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8377683"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62CA7167"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B6D7941"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1CA34029" w14:textId="77777777">
        <w:trPr>
          <w:jc w:val="center"/>
        </w:trPr>
        <w:tc>
          <w:tcPr>
            <w:tcW w:w="1440" w:type="dxa"/>
          </w:tcPr>
          <w:p w14:paraId="570D2BA2"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F4FC99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22F540E8"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5C7CDB6"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D2B9941"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02A6E13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571A1F31"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Kansas (KS)</w:t>
      </w:r>
    </w:p>
    <w:p w14:paraId="202B8774"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No invented citations. The debt-collection decision below holds that the KCPA may apply to independent debt-collection agencies; it does not establish that every collection act is deceptive or unconscionable.</w:t>
      </w:r>
    </w:p>
    <w:p w14:paraId="40F81FC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3AF2E37" w14:textId="77777777">
        <w:trPr>
          <w:cantSplit/>
          <w:tblHeader/>
          <w:jc w:val="center"/>
        </w:trPr>
        <w:tc>
          <w:tcPr>
            <w:tcW w:w="2232" w:type="dxa"/>
            <w:shd w:val="clear" w:color="auto" w:fill="D9EAF7"/>
            <w:tcMar>
              <w:top w:w="55" w:type="dxa"/>
              <w:left w:w="55" w:type="dxa"/>
              <w:bottom w:w="55" w:type="dxa"/>
              <w:right w:w="55" w:type="dxa"/>
            </w:tcMar>
            <w:vAlign w:val="center"/>
          </w:tcPr>
          <w:p w14:paraId="09E8807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379642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A73DC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DD40A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8054F4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EC055F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05154CF" w14:textId="77777777">
        <w:trPr>
          <w:cantSplit/>
          <w:jc w:val="center"/>
        </w:trPr>
        <w:tc>
          <w:tcPr>
            <w:tcW w:w="2232" w:type="dxa"/>
            <w:tcMar>
              <w:top w:w="50" w:type="dxa"/>
              <w:left w:w="55" w:type="dxa"/>
              <w:bottom w:w="50" w:type="dxa"/>
              <w:right w:w="55" w:type="dxa"/>
            </w:tcMar>
          </w:tcPr>
          <w:p w14:paraId="128CB8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Finstad v. Washburn University</w:t>
            </w:r>
          </w:p>
        </w:tc>
        <w:tc>
          <w:tcPr>
            <w:tcW w:w="1152" w:type="dxa"/>
            <w:tcMar>
              <w:top w:w="50" w:type="dxa"/>
              <w:left w:w="55" w:type="dxa"/>
              <w:bottom w:w="50" w:type="dxa"/>
              <w:right w:w="55" w:type="dxa"/>
            </w:tcMar>
          </w:tcPr>
          <w:p w14:paraId="3B7C4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 Sup. Ct.</w:t>
            </w:r>
          </w:p>
        </w:tc>
        <w:tc>
          <w:tcPr>
            <w:tcW w:w="748" w:type="dxa"/>
            <w:tcMar>
              <w:top w:w="50" w:type="dxa"/>
              <w:left w:w="55" w:type="dxa"/>
              <w:bottom w:w="50" w:type="dxa"/>
              <w:right w:w="55" w:type="dxa"/>
            </w:tcMar>
          </w:tcPr>
          <w:p w14:paraId="29F9D2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1993</w:t>
            </w:r>
          </w:p>
        </w:tc>
        <w:tc>
          <w:tcPr>
            <w:tcW w:w="2088" w:type="dxa"/>
            <w:tcMar>
              <w:top w:w="50" w:type="dxa"/>
              <w:left w:w="55" w:type="dxa"/>
              <w:bottom w:w="50" w:type="dxa"/>
              <w:right w:w="55" w:type="dxa"/>
            </w:tcMar>
          </w:tcPr>
          <w:p w14:paraId="701025B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252 Kan. 465, 845 P.2d 685</w:t>
            </w:r>
          </w:p>
        </w:tc>
        <w:tc>
          <w:tcPr>
            <w:tcW w:w="4536" w:type="dxa"/>
            <w:tcMar>
              <w:top w:w="50" w:type="dxa"/>
              <w:left w:w="55" w:type="dxa"/>
              <w:bottom w:w="50" w:type="dxa"/>
              <w:right w:w="55" w:type="dxa"/>
            </w:tcMar>
          </w:tcPr>
          <w:p w14:paraId="368304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KCPA recovery requires an aggrieved consumer and causation; a violation alone was insufficient without reliance or injury.</w:t>
            </w:r>
          </w:p>
        </w:tc>
        <w:tc>
          <w:tcPr>
            <w:tcW w:w="3643" w:type="dxa"/>
            <w:tcMar>
              <w:top w:w="50" w:type="dxa"/>
              <w:left w:w="55" w:type="dxa"/>
              <w:bottom w:w="50" w:type="dxa"/>
              <w:right w:w="55" w:type="dxa"/>
            </w:tcMar>
          </w:tcPr>
          <w:p w14:paraId="5B5AAA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awareness or reliance, transaction decision, injury, loss, and direct causation.</w:t>
            </w:r>
          </w:p>
        </w:tc>
      </w:tr>
      <w:tr w:rsidR="00756B19" w:rsidRPr="00566B6A" w14:paraId="564926D0" w14:textId="77777777">
        <w:trPr>
          <w:cantSplit/>
          <w:jc w:val="center"/>
        </w:trPr>
        <w:tc>
          <w:tcPr>
            <w:tcW w:w="2232" w:type="dxa"/>
            <w:shd w:val="clear" w:color="auto" w:fill="F7FAFC"/>
            <w:tcMar>
              <w:top w:w="50" w:type="dxa"/>
              <w:left w:w="55" w:type="dxa"/>
              <w:bottom w:w="50" w:type="dxa"/>
              <w:right w:w="55" w:type="dxa"/>
            </w:tcMar>
          </w:tcPr>
          <w:p w14:paraId="0B2F4D0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Via Christi Regional Medical Center, Inc. v. Reed</w:t>
            </w:r>
          </w:p>
        </w:tc>
        <w:tc>
          <w:tcPr>
            <w:tcW w:w="1152" w:type="dxa"/>
            <w:shd w:val="clear" w:color="auto" w:fill="F7FAFC"/>
            <w:tcMar>
              <w:top w:w="50" w:type="dxa"/>
              <w:left w:w="55" w:type="dxa"/>
              <w:bottom w:w="50" w:type="dxa"/>
              <w:right w:w="55" w:type="dxa"/>
            </w:tcMar>
          </w:tcPr>
          <w:p w14:paraId="30AA2E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 Sup. Ct.</w:t>
            </w:r>
          </w:p>
        </w:tc>
        <w:tc>
          <w:tcPr>
            <w:tcW w:w="748" w:type="dxa"/>
            <w:shd w:val="clear" w:color="auto" w:fill="F7FAFC"/>
            <w:tcMar>
              <w:top w:w="50" w:type="dxa"/>
              <w:left w:w="55" w:type="dxa"/>
              <w:bottom w:w="50" w:type="dxa"/>
              <w:right w:w="55" w:type="dxa"/>
            </w:tcMar>
          </w:tcPr>
          <w:p w14:paraId="0BC015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6313DF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298 Kan. 503, 314 P.3d 852</w:t>
            </w:r>
          </w:p>
        </w:tc>
        <w:tc>
          <w:tcPr>
            <w:tcW w:w="4536" w:type="dxa"/>
            <w:shd w:val="clear" w:color="auto" w:fill="F7FAFC"/>
            <w:tcMar>
              <w:top w:w="50" w:type="dxa"/>
              <w:left w:w="55" w:type="dxa"/>
              <w:bottom w:w="50" w:type="dxa"/>
              <w:right w:w="55" w:type="dxa"/>
            </w:tcMar>
          </w:tcPr>
          <w:p w14:paraId="0C65D9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fact issue existed whether the hospital knowingly misstated the amount owed; the asserted lien encumbered settlement funds and made the consumer aggrieved.</w:t>
            </w:r>
          </w:p>
        </w:tc>
        <w:tc>
          <w:tcPr>
            <w:tcW w:w="3643" w:type="dxa"/>
            <w:shd w:val="clear" w:color="auto" w:fill="F7FAFC"/>
            <w:tcMar>
              <w:top w:w="50" w:type="dxa"/>
              <w:left w:w="55" w:type="dxa"/>
              <w:bottom w:w="50" w:type="dxa"/>
              <w:right w:w="55" w:type="dxa"/>
            </w:tcMar>
          </w:tcPr>
          <w:p w14:paraId="3A5126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bills, credits, contracts, lien filings, calculations, knowledge evidence, affected funds, and economic harm.</w:t>
            </w:r>
          </w:p>
        </w:tc>
      </w:tr>
    </w:tbl>
    <w:p w14:paraId="4F62CBD5" w14:textId="77777777" w:rsidR="00756B19" w:rsidRPr="00566B6A" w:rsidRDefault="00756B19">
      <w:pPr>
        <w:spacing w:after="20"/>
        <w:rPr>
          <w:rFonts w:ascii="Courier New" w:hAnsi="Courier New" w:cs="Courier New"/>
          <w:sz w:val="22"/>
        </w:rPr>
      </w:pPr>
    </w:p>
    <w:p w14:paraId="1C32952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8B8F6A0" w14:textId="77777777">
        <w:trPr>
          <w:cantSplit/>
          <w:tblHeader/>
          <w:jc w:val="center"/>
        </w:trPr>
        <w:tc>
          <w:tcPr>
            <w:tcW w:w="2232" w:type="dxa"/>
            <w:shd w:val="clear" w:color="auto" w:fill="D9EAF7"/>
            <w:tcMar>
              <w:top w:w="55" w:type="dxa"/>
              <w:left w:w="55" w:type="dxa"/>
              <w:bottom w:w="55" w:type="dxa"/>
              <w:right w:w="55" w:type="dxa"/>
            </w:tcMar>
            <w:vAlign w:val="center"/>
          </w:tcPr>
          <w:p w14:paraId="5B90CCC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D0D30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5DFC5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5C2E9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1908DB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1991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05F12712" w14:textId="77777777">
        <w:trPr>
          <w:cantSplit/>
          <w:jc w:val="center"/>
        </w:trPr>
        <w:tc>
          <w:tcPr>
            <w:tcW w:w="2232" w:type="dxa"/>
            <w:tcMar>
              <w:top w:w="50" w:type="dxa"/>
              <w:left w:w="55" w:type="dxa"/>
              <w:bottom w:w="50" w:type="dxa"/>
              <w:right w:w="55" w:type="dxa"/>
            </w:tcMar>
          </w:tcPr>
          <w:p w14:paraId="0ADA0A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ex rel. Miller v. Midwest Service Bureau of Topeka, Inc.</w:t>
            </w:r>
          </w:p>
        </w:tc>
        <w:tc>
          <w:tcPr>
            <w:tcW w:w="1152" w:type="dxa"/>
            <w:tcMar>
              <w:top w:w="50" w:type="dxa"/>
              <w:left w:w="55" w:type="dxa"/>
              <w:bottom w:w="50" w:type="dxa"/>
              <w:right w:w="55" w:type="dxa"/>
            </w:tcMar>
          </w:tcPr>
          <w:p w14:paraId="69C267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 Sup. Ct.</w:t>
            </w:r>
          </w:p>
        </w:tc>
        <w:tc>
          <w:tcPr>
            <w:tcW w:w="748" w:type="dxa"/>
            <w:tcMar>
              <w:top w:w="50" w:type="dxa"/>
              <w:left w:w="55" w:type="dxa"/>
              <w:bottom w:w="50" w:type="dxa"/>
              <w:right w:w="55" w:type="dxa"/>
            </w:tcMar>
          </w:tcPr>
          <w:p w14:paraId="61FE14F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1981</w:t>
            </w:r>
          </w:p>
        </w:tc>
        <w:tc>
          <w:tcPr>
            <w:tcW w:w="2088" w:type="dxa"/>
            <w:tcMar>
              <w:top w:w="50" w:type="dxa"/>
              <w:left w:w="55" w:type="dxa"/>
              <w:bottom w:w="50" w:type="dxa"/>
              <w:right w:w="55" w:type="dxa"/>
            </w:tcMar>
          </w:tcPr>
          <w:p w14:paraId="6B7781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229 Kan. 322, 623 P.2d 1343</w:t>
            </w:r>
          </w:p>
        </w:tc>
        <w:tc>
          <w:tcPr>
            <w:tcW w:w="4536" w:type="dxa"/>
            <w:tcMar>
              <w:top w:w="50" w:type="dxa"/>
              <w:left w:w="55" w:type="dxa"/>
              <w:bottom w:w="50" w:type="dxa"/>
              <w:right w:w="55" w:type="dxa"/>
            </w:tcMar>
          </w:tcPr>
          <w:p w14:paraId="62B1EA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KCPA applies to independent debt collectors because enforcing consumer transactions makes them suppliers; deceptive or unconscionable collection may be covered.</w:t>
            </w:r>
          </w:p>
        </w:tc>
        <w:tc>
          <w:tcPr>
            <w:tcW w:w="3643" w:type="dxa"/>
            <w:tcMar>
              <w:top w:w="50" w:type="dxa"/>
              <w:left w:w="55" w:type="dxa"/>
              <w:bottom w:w="50" w:type="dxa"/>
              <w:right w:w="55" w:type="dxa"/>
            </w:tcMar>
          </w:tcPr>
          <w:p w14:paraId="5E6C90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underlying transaction, collector role, demands, calls, threats, balances, charges, disputes, and assignments.</w:t>
            </w:r>
          </w:p>
        </w:tc>
      </w:tr>
    </w:tbl>
    <w:p w14:paraId="0F748E78" w14:textId="77777777" w:rsidR="00756B19" w:rsidRPr="00566B6A" w:rsidRDefault="00756B19">
      <w:pPr>
        <w:spacing w:after="20"/>
        <w:rPr>
          <w:rFonts w:ascii="Courier New" w:hAnsi="Courier New" w:cs="Courier New"/>
          <w:sz w:val="22"/>
        </w:rPr>
      </w:pPr>
    </w:p>
    <w:p w14:paraId="058A5C8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E0F2305" w14:textId="77777777">
        <w:trPr>
          <w:cantSplit/>
          <w:tblHeader/>
          <w:jc w:val="center"/>
        </w:trPr>
        <w:tc>
          <w:tcPr>
            <w:tcW w:w="2232" w:type="dxa"/>
            <w:shd w:val="clear" w:color="auto" w:fill="D9EAF7"/>
            <w:tcMar>
              <w:top w:w="55" w:type="dxa"/>
              <w:left w:w="55" w:type="dxa"/>
              <w:bottom w:w="55" w:type="dxa"/>
              <w:right w:w="55" w:type="dxa"/>
            </w:tcMar>
            <w:vAlign w:val="center"/>
          </w:tcPr>
          <w:p w14:paraId="280C4CB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AE889C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5FAB4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E842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25DCC4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371C1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A128B0D" w14:textId="77777777">
        <w:trPr>
          <w:cantSplit/>
          <w:jc w:val="center"/>
        </w:trPr>
        <w:tc>
          <w:tcPr>
            <w:tcW w:w="2232" w:type="dxa"/>
            <w:tcMar>
              <w:top w:w="50" w:type="dxa"/>
              <w:left w:w="55" w:type="dxa"/>
              <w:bottom w:w="50" w:type="dxa"/>
              <w:right w:w="55" w:type="dxa"/>
            </w:tcMar>
          </w:tcPr>
          <w:p w14:paraId="15BF3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Finstad v. Washburn University</w:t>
            </w:r>
          </w:p>
        </w:tc>
        <w:tc>
          <w:tcPr>
            <w:tcW w:w="1152" w:type="dxa"/>
            <w:tcMar>
              <w:top w:w="50" w:type="dxa"/>
              <w:left w:w="55" w:type="dxa"/>
              <w:bottom w:w="50" w:type="dxa"/>
              <w:right w:w="55" w:type="dxa"/>
            </w:tcMar>
          </w:tcPr>
          <w:p w14:paraId="630E02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 Sup. Ct.</w:t>
            </w:r>
          </w:p>
        </w:tc>
        <w:tc>
          <w:tcPr>
            <w:tcW w:w="748" w:type="dxa"/>
            <w:tcMar>
              <w:top w:w="50" w:type="dxa"/>
              <w:left w:w="55" w:type="dxa"/>
              <w:bottom w:w="50" w:type="dxa"/>
              <w:right w:w="55" w:type="dxa"/>
            </w:tcMar>
          </w:tcPr>
          <w:p w14:paraId="2B7648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1993</w:t>
            </w:r>
          </w:p>
        </w:tc>
        <w:tc>
          <w:tcPr>
            <w:tcW w:w="2088" w:type="dxa"/>
            <w:tcMar>
              <w:top w:w="50" w:type="dxa"/>
              <w:left w:w="55" w:type="dxa"/>
              <w:bottom w:w="50" w:type="dxa"/>
              <w:right w:w="55" w:type="dxa"/>
            </w:tcMar>
          </w:tcPr>
          <w:p w14:paraId="73C05E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252 Kan. 465, 845 P.2d 685</w:t>
            </w:r>
          </w:p>
        </w:tc>
        <w:tc>
          <w:tcPr>
            <w:tcW w:w="4536" w:type="dxa"/>
            <w:tcMar>
              <w:top w:w="50" w:type="dxa"/>
              <w:left w:w="55" w:type="dxa"/>
              <w:bottom w:w="50" w:type="dxa"/>
              <w:right w:w="55" w:type="dxa"/>
            </w:tcMar>
          </w:tcPr>
          <w:p w14:paraId="35E9EAF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KCPA recovery requires an aggrieved consumer and causation; a violation alone was insufficient without reliance or injury.</w:t>
            </w:r>
          </w:p>
        </w:tc>
        <w:tc>
          <w:tcPr>
            <w:tcW w:w="3643" w:type="dxa"/>
            <w:tcMar>
              <w:top w:w="50" w:type="dxa"/>
              <w:left w:w="55" w:type="dxa"/>
              <w:bottom w:w="50" w:type="dxa"/>
              <w:right w:w="55" w:type="dxa"/>
            </w:tcMar>
          </w:tcPr>
          <w:p w14:paraId="69E8FB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awareness or reliance, transaction decision, injury, loss, and direct causation.</w:t>
            </w:r>
          </w:p>
        </w:tc>
      </w:tr>
      <w:tr w:rsidR="00756B19" w:rsidRPr="00566B6A" w14:paraId="26093C36" w14:textId="77777777">
        <w:trPr>
          <w:cantSplit/>
          <w:jc w:val="center"/>
        </w:trPr>
        <w:tc>
          <w:tcPr>
            <w:tcW w:w="2232" w:type="dxa"/>
            <w:shd w:val="clear" w:color="auto" w:fill="F7FAFC"/>
            <w:tcMar>
              <w:top w:w="50" w:type="dxa"/>
              <w:left w:w="55" w:type="dxa"/>
              <w:bottom w:w="50" w:type="dxa"/>
              <w:right w:w="55" w:type="dxa"/>
            </w:tcMar>
          </w:tcPr>
          <w:p w14:paraId="246D35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Via Christi Regional Medical Center, Inc. v. Reed</w:t>
            </w:r>
          </w:p>
        </w:tc>
        <w:tc>
          <w:tcPr>
            <w:tcW w:w="1152" w:type="dxa"/>
            <w:shd w:val="clear" w:color="auto" w:fill="F7FAFC"/>
            <w:tcMar>
              <w:top w:w="50" w:type="dxa"/>
              <w:left w:w="55" w:type="dxa"/>
              <w:bottom w:w="50" w:type="dxa"/>
              <w:right w:w="55" w:type="dxa"/>
            </w:tcMar>
          </w:tcPr>
          <w:p w14:paraId="0CB14A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 Sup. Ct.</w:t>
            </w:r>
          </w:p>
        </w:tc>
        <w:tc>
          <w:tcPr>
            <w:tcW w:w="748" w:type="dxa"/>
            <w:shd w:val="clear" w:color="auto" w:fill="F7FAFC"/>
            <w:tcMar>
              <w:top w:w="50" w:type="dxa"/>
              <w:left w:w="55" w:type="dxa"/>
              <w:bottom w:w="50" w:type="dxa"/>
              <w:right w:w="55" w:type="dxa"/>
            </w:tcMar>
          </w:tcPr>
          <w:p w14:paraId="088D68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33FCBA3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298 Kan. 503, 314 P.3d 852</w:t>
            </w:r>
          </w:p>
        </w:tc>
        <w:tc>
          <w:tcPr>
            <w:tcW w:w="4536" w:type="dxa"/>
            <w:shd w:val="clear" w:color="auto" w:fill="F7FAFC"/>
            <w:tcMar>
              <w:top w:w="50" w:type="dxa"/>
              <w:left w:w="55" w:type="dxa"/>
              <w:bottom w:w="50" w:type="dxa"/>
              <w:right w:w="55" w:type="dxa"/>
            </w:tcMar>
          </w:tcPr>
          <w:p w14:paraId="018047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fact issue existed whether the hospital knowingly misstated the amount owed; the asserted lien encumbered settlement funds and made the consumer aggrieved.</w:t>
            </w:r>
          </w:p>
        </w:tc>
        <w:tc>
          <w:tcPr>
            <w:tcW w:w="3643" w:type="dxa"/>
            <w:shd w:val="clear" w:color="auto" w:fill="F7FAFC"/>
            <w:tcMar>
              <w:top w:w="50" w:type="dxa"/>
              <w:left w:w="55" w:type="dxa"/>
              <w:bottom w:w="50" w:type="dxa"/>
              <w:right w:w="55" w:type="dxa"/>
            </w:tcMar>
          </w:tcPr>
          <w:p w14:paraId="314458A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bills, credits, contracts, lien filings, calculations, knowledge evidence, affected funds, and economic harm.</w:t>
            </w:r>
          </w:p>
        </w:tc>
      </w:tr>
      <w:tr w:rsidR="00756B19" w:rsidRPr="00566B6A" w14:paraId="4415A3DF" w14:textId="77777777">
        <w:trPr>
          <w:cantSplit/>
          <w:jc w:val="center"/>
        </w:trPr>
        <w:tc>
          <w:tcPr>
            <w:tcW w:w="2232" w:type="dxa"/>
            <w:tcMar>
              <w:top w:w="50" w:type="dxa"/>
              <w:left w:w="55" w:type="dxa"/>
              <w:bottom w:w="50" w:type="dxa"/>
              <w:right w:w="55" w:type="dxa"/>
            </w:tcMar>
          </w:tcPr>
          <w:p w14:paraId="4B579E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ex rel. Miller v. Midwest Service Bureau of Topeka, Inc.</w:t>
            </w:r>
          </w:p>
        </w:tc>
        <w:tc>
          <w:tcPr>
            <w:tcW w:w="1152" w:type="dxa"/>
            <w:tcMar>
              <w:top w:w="50" w:type="dxa"/>
              <w:left w:w="55" w:type="dxa"/>
              <w:bottom w:w="50" w:type="dxa"/>
              <w:right w:w="55" w:type="dxa"/>
            </w:tcMar>
          </w:tcPr>
          <w:p w14:paraId="7B5BE9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 Sup. Ct.</w:t>
            </w:r>
          </w:p>
        </w:tc>
        <w:tc>
          <w:tcPr>
            <w:tcW w:w="748" w:type="dxa"/>
            <w:tcMar>
              <w:top w:w="50" w:type="dxa"/>
              <w:left w:w="55" w:type="dxa"/>
              <w:bottom w:w="50" w:type="dxa"/>
              <w:right w:w="55" w:type="dxa"/>
            </w:tcMar>
          </w:tcPr>
          <w:p w14:paraId="100CFD6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1981</w:t>
            </w:r>
          </w:p>
        </w:tc>
        <w:tc>
          <w:tcPr>
            <w:tcW w:w="2088" w:type="dxa"/>
            <w:tcMar>
              <w:top w:w="50" w:type="dxa"/>
              <w:left w:w="55" w:type="dxa"/>
              <w:bottom w:w="50" w:type="dxa"/>
              <w:right w:w="55" w:type="dxa"/>
            </w:tcMar>
          </w:tcPr>
          <w:p w14:paraId="5D62FA2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229 Kan. 322, 623 P.2d 1343</w:t>
            </w:r>
          </w:p>
        </w:tc>
        <w:tc>
          <w:tcPr>
            <w:tcW w:w="4536" w:type="dxa"/>
            <w:tcMar>
              <w:top w:w="50" w:type="dxa"/>
              <w:left w:w="55" w:type="dxa"/>
              <w:bottom w:w="50" w:type="dxa"/>
              <w:right w:w="55" w:type="dxa"/>
            </w:tcMar>
          </w:tcPr>
          <w:p w14:paraId="392406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KCPA applies to independent debt collectors because enforcing consumer transactions makes them suppliers; deceptive or unconscionable collection may be covered.</w:t>
            </w:r>
          </w:p>
        </w:tc>
        <w:tc>
          <w:tcPr>
            <w:tcW w:w="3643" w:type="dxa"/>
            <w:tcMar>
              <w:top w:w="50" w:type="dxa"/>
              <w:left w:w="55" w:type="dxa"/>
              <w:bottom w:w="50" w:type="dxa"/>
              <w:right w:w="55" w:type="dxa"/>
            </w:tcMar>
          </w:tcPr>
          <w:p w14:paraId="361E50F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underlying transaction, collector role, demands, calls, threats, balances, charges, disputes, and assignments.</w:t>
            </w:r>
          </w:p>
        </w:tc>
      </w:tr>
    </w:tbl>
    <w:p w14:paraId="0D3C7111" w14:textId="77777777" w:rsidR="00756B19" w:rsidRPr="00566B6A" w:rsidRDefault="00756B19">
      <w:pPr>
        <w:spacing w:after="20"/>
        <w:rPr>
          <w:rFonts w:ascii="Courier New" w:hAnsi="Courier New" w:cs="Courier New"/>
          <w:sz w:val="22"/>
        </w:rPr>
      </w:pPr>
    </w:p>
    <w:p w14:paraId="62CA3E7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03CC2CC9"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4ADED9A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250FC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57F5134C"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and Kansas law both regulate consumer reporting. Kansas claims involving CRA accuracy, reinvestigation, disclosure, or furnishing may be preemption-sensitive and should identify the exact state provision, actor, conduct, and requested remedy.</w:t>
      </w:r>
    </w:p>
    <w:p w14:paraId="4E3D232F" w14:textId="77777777" w:rsidR="00964317" w:rsidRPr="00566B6A" w:rsidRDefault="00964317">
      <w:pPr>
        <w:spacing w:after="60"/>
        <w:rPr>
          <w:rFonts w:ascii="Courier New" w:hAnsi="Courier New" w:cs="Courier New"/>
          <w:sz w:val="22"/>
        </w:rPr>
      </w:pPr>
    </w:p>
    <w:p w14:paraId="6FF22A4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6C279385" w14:textId="77777777">
        <w:trPr>
          <w:cantSplit/>
          <w:tblHeader/>
          <w:jc w:val="center"/>
        </w:trPr>
        <w:tc>
          <w:tcPr>
            <w:tcW w:w="2232" w:type="dxa"/>
            <w:shd w:val="clear" w:color="auto" w:fill="D9EAF7"/>
            <w:tcMar>
              <w:top w:w="55" w:type="dxa"/>
              <w:left w:w="55" w:type="dxa"/>
              <w:bottom w:w="55" w:type="dxa"/>
              <w:right w:w="55" w:type="dxa"/>
            </w:tcMar>
            <w:vAlign w:val="center"/>
          </w:tcPr>
          <w:p w14:paraId="384D57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A1D55A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Kansas Authority</w:t>
            </w:r>
          </w:p>
        </w:tc>
        <w:tc>
          <w:tcPr>
            <w:tcW w:w="1080" w:type="dxa"/>
            <w:shd w:val="clear" w:color="auto" w:fill="D9EAF7"/>
            <w:tcMar>
              <w:top w:w="55" w:type="dxa"/>
              <w:left w:w="55" w:type="dxa"/>
              <w:bottom w:w="55" w:type="dxa"/>
              <w:right w:w="55" w:type="dxa"/>
            </w:tcMar>
            <w:vAlign w:val="center"/>
          </w:tcPr>
          <w:p w14:paraId="226B39A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068FF45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5B9E8A2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55995F8" w14:textId="77777777">
        <w:trPr>
          <w:cantSplit/>
          <w:jc w:val="center"/>
        </w:trPr>
        <w:tc>
          <w:tcPr>
            <w:tcW w:w="2232" w:type="dxa"/>
            <w:tcMar>
              <w:top w:w="50" w:type="dxa"/>
              <w:left w:w="55" w:type="dxa"/>
              <w:bottom w:w="50" w:type="dxa"/>
              <w:right w:w="55" w:type="dxa"/>
            </w:tcMar>
          </w:tcPr>
          <w:p w14:paraId="455357D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95DB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K.S.A. §§ 50-701–722, including § 50-710; federal FCRA</w:t>
            </w:r>
          </w:p>
        </w:tc>
        <w:tc>
          <w:tcPr>
            <w:tcW w:w="1080" w:type="dxa"/>
            <w:tcMar>
              <w:top w:w="50" w:type="dxa"/>
              <w:left w:w="55" w:type="dxa"/>
              <w:bottom w:w="50" w:type="dxa"/>
              <w:right w:w="55" w:type="dxa"/>
            </w:tcMar>
          </w:tcPr>
          <w:p w14:paraId="0C2D7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70759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FF858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both federal and Kansas dispute records; identify the exact state provision and analyze express preemption before pleading.</w:t>
            </w:r>
          </w:p>
        </w:tc>
      </w:tr>
      <w:tr w:rsidR="00756B19" w:rsidRPr="00566B6A" w14:paraId="4F4323B2" w14:textId="77777777">
        <w:trPr>
          <w:cantSplit/>
          <w:jc w:val="center"/>
        </w:trPr>
        <w:tc>
          <w:tcPr>
            <w:tcW w:w="2232" w:type="dxa"/>
            <w:shd w:val="clear" w:color="auto" w:fill="F7FAFC"/>
            <w:tcMar>
              <w:top w:w="50" w:type="dxa"/>
              <w:left w:w="55" w:type="dxa"/>
              <w:bottom w:w="50" w:type="dxa"/>
              <w:right w:w="55" w:type="dxa"/>
            </w:tcMar>
          </w:tcPr>
          <w:p w14:paraId="08DB3CE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Furnisher reporting duties</w:t>
            </w:r>
          </w:p>
        </w:tc>
        <w:tc>
          <w:tcPr>
            <w:tcW w:w="3096" w:type="dxa"/>
            <w:shd w:val="clear" w:color="auto" w:fill="F7FAFC"/>
            <w:tcMar>
              <w:top w:w="50" w:type="dxa"/>
              <w:left w:w="55" w:type="dxa"/>
              <w:bottom w:w="50" w:type="dxa"/>
              <w:right w:w="55" w:type="dxa"/>
            </w:tcMar>
          </w:tcPr>
          <w:p w14:paraId="5DBC8D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Kansas law only for preserved or factually distinct conduct</w:t>
            </w:r>
          </w:p>
        </w:tc>
        <w:tc>
          <w:tcPr>
            <w:tcW w:w="1080" w:type="dxa"/>
            <w:shd w:val="clear" w:color="auto" w:fill="F7FAFC"/>
            <w:tcMar>
              <w:top w:w="50" w:type="dxa"/>
              <w:left w:w="55" w:type="dxa"/>
              <w:bottom w:w="50" w:type="dxa"/>
              <w:right w:w="55" w:type="dxa"/>
            </w:tcMar>
          </w:tcPr>
          <w:p w14:paraId="25813C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9F7570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0D3251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the bureau-dispute notice trail; avoid unsupported parallel duties.</w:t>
            </w:r>
          </w:p>
        </w:tc>
      </w:tr>
      <w:tr w:rsidR="00756B19" w:rsidRPr="00566B6A" w14:paraId="7CEFD54B" w14:textId="77777777">
        <w:trPr>
          <w:cantSplit/>
          <w:jc w:val="center"/>
        </w:trPr>
        <w:tc>
          <w:tcPr>
            <w:tcW w:w="2232" w:type="dxa"/>
            <w:tcMar>
              <w:top w:w="50" w:type="dxa"/>
              <w:left w:w="55" w:type="dxa"/>
              <w:bottom w:w="50" w:type="dxa"/>
              <w:right w:w="55" w:type="dxa"/>
            </w:tcMar>
          </w:tcPr>
          <w:p w14:paraId="5DBD47E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417CDD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K.S.A. § 21-6107; §§ 50-723–725; federal FCRA</w:t>
            </w:r>
          </w:p>
        </w:tc>
        <w:tc>
          <w:tcPr>
            <w:tcW w:w="1080" w:type="dxa"/>
            <w:tcMar>
              <w:top w:w="50" w:type="dxa"/>
              <w:left w:w="55" w:type="dxa"/>
              <w:bottom w:w="50" w:type="dxa"/>
              <w:right w:w="55" w:type="dxa"/>
            </w:tcMar>
          </w:tcPr>
          <w:p w14:paraId="6E4C92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AAEC3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875C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fraudulent items, freezes, federal block requests, CRA notices, and decisions.</w:t>
            </w:r>
          </w:p>
        </w:tc>
      </w:tr>
      <w:tr w:rsidR="00756B19" w:rsidRPr="00566B6A" w14:paraId="3C0A2B33" w14:textId="77777777">
        <w:trPr>
          <w:cantSplit/>
          <w:jc w:val="center"/>
        </w:trPr>
        <w:tc>
          <w:tcPr>
            <w:tcW w:w="2232" w:type="dxa"/>
            <w:shd w:val="clear" w:color="auto" w:fill="F7FAFC"/>
            <w:tcMar>
              <w:top w:w="50" w:type="dxa"/>
              <w:left w:w="55" w:type="dxa"/>
              <w:bottom w:w="50" w:type="dxa"/>
              <w:right w:w="55" w:type="dxa"/>
            </w:tcMar>
          </w:tcPr>
          <w:p w14:paraId="17D69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1EC5FC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KCPA; K.S.A. §§ 16a-5-101–303; federal FDCPA</w:t>
            </w:r>
          </w:p>
        </w:tc>
        <w:tc>
          <w:tcPr>
            <w:tcW w:w="1080" w:type="dxa"/>
            <w:shd w:val="clear" w:color="auto" w:fill="F7FAFC"/>
            <w:tcMar>
              <w:top w:w="50" w:type="dxa"/>
              <w:left w:w="55" w:type="dxa"/>
              <w:bottom w:w="50" w:type="dxa"/>
              <w:right w:w="55" w:type="dxa"/>
            </w:tcMar>
          </w:tcPr>
          <w:p w14:paraId="2C6D9B7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03F247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0BF0A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Classify the transaction and actor; preserve communications, charges, disputes, assignments, default/cure, and account records.</w:t>
            </w:r>
          </w:p>
        </w:tc>
      </w:tr>
      <w:tr w:rsidR="00756B19" w:rsidRPr="00566B6A" w14:paraId="6C632A57" w14:textId="77777777">
        <w:trPr>
          <w:cantSplit/>
          <w:jc w:val="center"/>
        </w:trPr>
        <w:tc>
          <w:tcPr>
            <w:tcW w:w="2232" w:type="dxa"/>
            <w:tcMar>
              <w:top w:w="50" w:type="dxa"/>
              <w:left w:w="55" w:type="dxa"/>
              <w:bottom w:w="50" w:type="dxa"/>
              <w:right w:w="55" w:type="dxa"/>
            </w:tcMar>
          </w:tcPr>
          <w:p w14:paraId="6D2829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38DB86B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K.S.A. §§ 50-723–725</w:t>
            </w:r>
          </w:p>
        </w:tc>
        <w:tc>
          <w:tcPr>
            <w:tcW w:w="1080" w:type="dxa"/>
            <w:tcMar>
              <w:top w:w="50" w:type="dxa"/>
              <w:left w:w="55" w:type="dxa"/>
              <w:bottom w:w="50" w:type="dxa"/>
              <w:right w:w="55" w:type="dxa"/>
            </w:tcMar>
          </w:tcPr>
          <w:p w14:paraId="58CAE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7A4499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34BA5B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lift/removal requests, address-change notices, and resulting damages.</w:t>
            </w:r>
          </w:p>
        </w:tc>
      </w:tr>
      <w:tr w:rsidR="00756B19" w:rsidRPr="00566B6A" w14:paraId="3F8E56BF" w14:textId="77777777">
        <w:trPr>
          <w:cantSplit/>
          <w:jc w:val="center"/>
        </w:trPr>
        <w:tc>
          <w:tcPr>
            <w:tcW w:w="2232" w:type="dxa"/>
            <w:shd w:val="clear" w:color="auto" w:fill="F7FAFC"/>
            <w:tcMar>
              <w:top w:w="50" w:type="dxa"/>
              <w:left w:w="55" w:type="dxa"/>
              <w:bottom w:w="50" w:type="dxa"/>
              <w:right w:w="55" w:type="dxa"/>
            </w:tcMar>
          </w:tcPr>
          <w:p w14:paraId="335C2B8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1FE2D9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K.S.A. §§ 50-7a01–7a04</w:t>
            </w:r>
          </w:p>
        </w:tc>
        <w:tc>
          <w:tcPr>
            <w:tcW w:w="1080" w:type="dxa"/>
            <w:shd w:val="clear" w:color="auto" w:fill="F7FAFC"/>
            <w:tcMar>
              <w:top w:w="50" w:type="dxa"/>
              <w:left w:w="55" w:type="dxa"/>
              <w:bottom w:w="50" w:type="dxa"/>
              <w:right w:w="55" w:type="dxa"/>
            </w:tcMar>
          </w:tcPr>
          <w:p w14:paraId="3F289E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145667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1C9A36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findings, affected data, resident/CRA notices, dates, delay records, and regulator correspondence.</w:t>
            </w:r>
          </w:p>
        </w:tc>
      </w:tr>
      <w:tr w:rsidR="00756B19" w:rsidRPr="00566B6A" w14:paraId="08555920" w14:textId="77777777">
        <w:trPr>
          <w:cantSplit/>
          <w:jc w:val="center"/>
        </w:trPr>
        <w:tc>
          <w:tcPr>
            <w:tcW w:w="2232" w:type="dxa"/>
            <w:tcMar>
              <w:top w:w="50" w:type="dxa"/>
              <w:left w:w="55" w:type="dxa"/>
              <w:bottom w:w="50" w:type="dxa"/>
              <w:right w:w="55" w:type="dxa"/>
            </w:tcMar>
          </w:tcPr>
          <w:p w14:paraId="52A2BD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844D3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KCPA, K.S.A. §§ 50-623–643</w:t>
            </w:r>
          </w:p>
        </w:tc>
        <w:tc>
          <w:tcPr>
            <w:tcW w:w="1080" w:type="dxa"/>
            <w:tcMar>
              <w:top w:w="50" w:type="dxa"/>
              <w:left w:w="55" w:type="dxa"/>
              <w:bottom w:w="50" w:type="dxa"/>
              <w:right w:w="55" w:type="dxa"/>
            </w:tcMar>
          </w:tcPr>
          <w:p w14:paraId="1369BC8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5A7380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C085F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consumer transaction, deceptive or unconscionable practice, causation, aggrievement, remedy, and three-year timing.</w:t>
            </w:r>
          </w:p>
        </w:tc>
      </w:tr>
    </w:tbl>
    <w:p w14:paraId="4D48D96C" w14:textId="77777777" w:rsidR="00756B19" w:rsidRPr="00566B6A" w:rsidRDefault="00756B19">
      <w:pPr>
        <w:spacing w:after="20"/>
        <w:rPr>
          <w:rFonts w:ascii="Courier New" w:hAnsi="Courier New" w:cs="Courier New"/>
          <w:sz w:val="22"/>
        </w:rPr>
      </w:pPr>
    </w:p>
    <w:p w14:paraId="7EC9D1E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distinct collection communications, KCPA deception or unconscionability, Kansas security-freeze violations, breach-notification duties, and conduct factually distinct from federal CRA or furnisher reporting obligations.</w:t>
      </w:r>
    </w:p>
    <w:p w14:paraId="1F87A58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Kansas claims that duplicate or conflict with federal CRA or furnisher duties without identifying a preserved state provision or factually distinct conduct.</w:t>
      </w:r>
    </w:p>
    <w:p w14:paraId="31E5EE81"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5CFBA91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D93F76F"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708829C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2B68F1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3 — </w:t>
      </w:r>
      <w:r w:rsidRPr="00566B6A">
        <w:rPr>
          <w:rFonts w:ascii="Courier New" w:hAnsi="Courier New" w:cs="Courier New"/>
          <w:sz w:val="22"/>
        </w:rPr>
        <w:t>Request and preserve the contract, ledger, date-of-first-delinquency support, ownership chain, inquiry logs, and account-level data.</w:t>
      </w:r>
    </w:p>
    <w:p w14:paraId="209BD48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533EB0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Kansas complaint with the Attorney General’s Consumer Protection Division or the Office of the State Bank Commissioner as the subject and agency jurisdiction require; retain confirmation numbers.</w:t>
      </w:r>
    </w:p>
    <w:p w14:paraId="03CB10D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205166D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6DE30711"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116CE4F4" w14:textId="77777777" w:rsidR="00964317" w:rsidRPr="00566B6A" w:rsidRDefault="00964317">
      <w:pPr>
        <w:ind w:left="72"/>
        <w:rPr>
          <w:rFonts w:ascii="Courier New" w:hAnsi="Courier New" w:cs="Courier New"/>
          <w:sz w:val="22"/>
        </w:rPr>
      </w:pPr>
    </w:p>
    <w:p w14:paraId="3993038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7AD968F4"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23D1468C" w14:textId="77777777">
        <w:trPr>
          <w:cantSplit/>
          <w:tblHeader/>
          <w:jc w:val="center"/>
        </w:trPr>
        <w:tc>
          <w:tcPr>
            <w:tcW w:w="6048" w:type="dxa"/>
            <w:shd w:val="clear" w:color="auto" w:fill="D9EAF7"/>
            <w:tcMar>
              <w:top w:w="55" w:type="dxa"/>
              <w:left w:w="55" w:type="dxa"/>
              <w:bottom w:w="55" w:type="dxa"/>
              <w:right w:w="55" w:type="dxa"/>
            </w:tcMar>
            <w:vAlign w:val="center"/>
          </w:tcPr>
          <w:p w14:paraId="57FAF85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5215A7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67E5BD99" w14:textId="77777777">
        <w:trPr>
          <w:cantSplit/>
          <w:jc w:val="center"/>
        </w:trPr>
        <w:tc>
          <w:tcPr>
            <w:tcW w:w="6048" w:type="dxa"/>
            <w:tcMar>
              <w:top w:w="50" w:type="dxa"/>
              <w:left w:w="55" w:type="dxa"/>
              <w:bottom w:w="50" w:type="dxa"/>
              <w:right w:w="55" w:type="dxa"/>
            </w:tcMar>
          </w:tcPr>
          <w:p w14:paraId="2E8C1B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500842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55F078A6" w14:textId="77777777">
        <w:trPr>
          <w:cantSplit/>
          <w:jc w:val="center"/>
        </w:trPr>
        <w:tc>
          <w:tcPr>
            <w:tcW w:w="6048" w:type="dxa"/>
            <w:shd w:val="clear" w:color="auto" w:fill="F7FAFC"/>
            <w:tcMar>
              <w:top w:w="50" w:type="dxa"/>
              <w:left w:w="55" w:type="dxa"/>
              <w:bottom w:w="50" w:type="dxa"/>
              <w:right w:w="55" w:type="dxa"/>
            </w:tcMar>
          </w:tcPr>
          <w:p w14:paraId="73A787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CF4C9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123FB0A1" w14:textId="77777777">
        <w:trPr>
          <w:cantSplit/>
          <w:jc w:val="center"/>
        </w:trPr>
        <w:tc>
          <w:tcPr>
            <w:tcW w:w="6048" w:type="dxa"/>
            <w:tcMar>
              <w:top w:w="50" w:type="dxa"/>
              <w:left w:w="55" w:type="dxa"/>
              <w:bottom w:w="50" w:type="dxa"/>
              <w:right w:w="55" w:type="dxa"/>
            </w:tcMar>
          </w:tcPr>
          <w:p w14:paraId="05516B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1F837C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20BCF233" w14:textId="77777777">
        <w:trPr>
          <w:cantSplit/>
          <w:jc w:val="center"/>
        </w:trPr>
        <w:tc>
          <w:tcPr>
            <w:tcW w:w="6048" w:type="dxa"/>
            <w:shd w:val="clear" w:color="auto" w:fill="F7FAFC"/>
            <w:tcMar>
              <w:top w:w="50" w:type="dxa"/>
              <w:left w:w="55" w:type="dxa"/>
              <w:bottom w:w="50" w:type="dxa"/>
              <w:right w:w="55" w:type="dxa"/>
            </w:tcMar>
          </w:tcPr>
          <w:p w14:paraId="3067C1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Kansas AG / OSBC / Consumer Credit Commissioner complaint + agency ID</w:t>
            </w:r>
          </w:p>
        </w:tc>
        <w:tc>
          <w:tcPr>
            <w:tcW w:w="8352" w:type="dxa"/>
            <w:shd w:val="clear" w:color="auto" w:fill="F7FAFC"/>
            <w:tcMar>
              <w:top w:w="50" w:type="dxa"/>
              <w:left w:w="55" w:type="dxa"/>
              <w:bottom w:w="50" w:type="dxa"/>
              <w:right w:w="55" w:type="dxa"/>
            </w:tcMar>
          </w:tcPr>
          <w:p w14:paraId="177C906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05D5AA94" w14:textId="77777777">
        <w:trPr>
          <w:cantSplit/>
          <w:jc w:val="center"/>
        </w:trPr>
        <w:tc>
          <w:tcPr>
            <w:tcW w:w="6048" w:type="dxa"/>
            <w:tcMar>
              <w:top w:w="50" w:type="dxa"/>
              <w:left w:w="55" w:type="dxa"/>
              <w:bottom w:w="50" w:type="dxa"/>
              <w:right w:w="55" w:type="dxa"/>
            </w:tcMar>
          </w:tcPr>
          <w:p w14:paraId="0BA451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39C997E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0344971C" w14:textId="77777777">
        <w:trPr>
          <w:cantSplit/>
          <w:jc w:val="center"/>
        </w:trPr>
        <w:tc>
          <w:tcPr>
            <w:tcW w:w="6048" w:type="dxa"/>
            <w:shd w:val="clear" w:color="auto" w:fill="F7FAFC"/>
            <w:tcMar>
              <w:top w:w="50" w:type="dxa"/>
              <w:left w:w="55" w:type="dxa"/>
              <w:bottom w:w="50" w:type="dxa"/>
              <w:right w:w="55" w:type="dxa"/>
            </w:tcMar>
          </w:tcPr>
          <w:p w14:paraId="70FD9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4B8689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FBD96C" w14:textId="77777777">
        <w:trPr>
          <w:cantSplit/>
          <w:jc w:val="center"/>
        </w:trPr>
        <w:tc>
          <w:tcPr>
            <w:tcW w:w="6048" w:type="dxa"/>
            <w:tcMar>
              <w:top w:w="50" w:type="dxa"/>
              <w:left w:w="55" w:type="dxa"/>
              <w:bottom w:w="50" w:type="dxa"/>
              <w:right w:w="55" w:type="dxa"/>
            </w:tcMar>
          </w:tcPr>
          <w:p w14:paraId="7965C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KCPA transaction, practice, causation, aggrievement, and remedy evidence</w:t>
            </w:r>
          </w:p>
        </w:tc>
        <w:tc>
          <w:tcPr>
            <w:tcW w:w="8352" w:type="dxa"/>
            <w:tcMar>
              <w:top w:w="50" w:type="dxa"/>
              <w:left w:w="55" w:type="dxa"/>
              <w:bottom w:w="50" w:type="dxa"/>
              <w:right w:w="55" w:type="dxa"/>
            </w:tcMar>
          </w:tcPr>
          <w:p w14:paraId="50ECC2D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Consumer/supplier status, transaction, violation, causal injury or loss, damages/civil penalty, and timing</w:t>
            </w:r>
          </w:p>
        </w:tc>
      </w:tr>
    </w:tbl>
    <w:p w14:paraId="49D0CEDD" w14:textId="77777777" w:rsidR="00756B19" w:rsidRPr="00566B6A" w:rsidRDefault="00756B19">
      <w:pPr>
        <w:spacing w:after="20"/>
        <w:rPr>
          <w:rFonts w:ascii="Courier New" w:hAnsi="Courier New" w:cs="Courier New"/>
          <w:sz w:val="22"/>
        </w:rPr>
      </w:pPr>
    </w:p>
    <w:p w14:paraId="6A9CCAD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1C1DF8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44E5D0C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Permissible-purpose request concerning inquiries and file access</w:t>
      </w:r>
    </w:p>
    <w:p w14:paraId="3F88794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1A272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0012C8C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6BAC22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Kansas KCPA consumer/supplier status, transaction, deceptive or unconscionable practice, causation, aggrievement, damages or civil penalty, and three-year limitations review</w:t>
      </w:r>
    </w:p>
    <w:p w14:paraId="45BCFD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Kansas UCCC transaction, default/cure, unconscionability, charge, remedy, and regulator-jurisdiction review</w:t>
      </w:r>
    </w:p>
    <w:p w14:paraId="7E48C90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49545DF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44A6B450"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4A602F23"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Kansas (KS)</w:t>
      </w:r>
    </w:p>
    <w:p w14:paraId="66FD35E4"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1B0966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Kansas Consumer Protection Act (KCPA) | </w:t>
      </w:r>
      <w:r w:rsidRPr="00566B6A">
        <w:rPr>
          <w:rFonts w:ascii="Courier New" w:hAnsi="Courier New" w:cs="Courier New"/>
          <w:sz w:val="22"/>
        </w:rPr>
        <w:t>K.S.A. §§ 50-623–50-643 | Remedies: declaratory/injunctive relief; damages or a civil penalty up to $10,000 per violation; fees where authorized; AG restitution, receivership, and penalties. | Authority: Attorney General / courts.</w:t>
      </w:r>
    </w:p>
    <w:p w14:paraId="52AAAA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Kansas Uniform Consumer Credit Code — Remedies and Penalties | </w:t>
      </w:r>
      <w:r w:rsidRPr="00566B6A">
        <w:rPr>
          <w:rFonts w:ascii="Courier New" w:hAnsi="Courier New" w:cs="Courier New"/>
          <w:sz w:val="22"/>
        </w:rPr>
        <w:t>K.S.A. §§ 16a-5-101–16a-5-303 | Remedies: cure, unenforceability, setoff, refunds, disclosure liability, and administrative or criminal enforcement where authorized. | Authority: Consumer Credit Commissioner / courts.</w:t>
      </w:r>
    </w:p>
    <w:p w14:paraId="785341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Kansas Fair Credit Reporting Act and Security-Freezes | </w:t>
      </w:r>
      <w:r w:rsidRPr="00566B6A">
        <w:rPr>
          <w:rFonts w:ascii="Courier New" w:hAnsi="Courier New" w:cs="Courier New"/>
          <w:sz w:val="22"/>
        </w:rPr>
        <w:t>K.S.A. §§ 50-701–50-725 | Remedies: disclosure/dispute procedures; damages, punitive relief where authorized, costs, fees, freeze relief, and a two-year period under § 50-717 for §§ 50-701–50-722 claims. | Authority: Consumer Credit Commissioner / courts / CRAs.</w:t>
      </w:r>
    </w:p>
    <w:p w14:paraId="2CFF1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Kansas Protection of Consumer Information Law | </w:t>
      </w:r>
      <w:r w:rsidRPr="00566B6A">
        <w:rPr>
          <w:rFonts w:ascii="Courier New" w:hAnsi="Courier New" w:cs="Courier New"/>
          <w:sz w:val="22"/>
        </w:rPr>
        <w:t>K.S.A. §§ 50-7a01–50-7a04 | Remedies: investigation and resident or nationwide-CRA notice; AG or Insurance Commissioner enforcement. | Authority: Kansas Attorney General / Insurance Commissioner.</w:t>
      </w:r>
    </w:p>
    <w:p w14:paraId="515DA0A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Kansas Identity-Theft and Identity-Fraud Provision | </w:t>
      </w:r>
      <w:r w:rsidRPr="00566B6A">
        <w:rPr>
          <w:rFonts w:ascii="Courier New" w:hAnsi="Courier New" w:cs="Courier New"/>
          <w:sz w:val="22"/>
        </w:rPr>
        <w:t>K.S.A. § 21-6107 | Remedies: criminal penalties and identity-restoration documentation. | Authority: law enforcement / courts.</w:t>
      </w:r>
    </w:p>
    <w:p w14:paraId="0FE81E4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Regulations</w:t>
      </w:r>
    </w:p>
    <w:p w14:paraId="56DF33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Kansas Consumer Credit and Fair Credit Reporting Regulations — </w:t>
      </w:r>
      <w:r w:rsidRPr="00566B6A">
        <w:rPr>
          <w:rFonts w:ascii="Courier New" w:hAnsi="Courier New" w:cs="Courier New"/>
          <w:sz w:val="22"/>
        </w:rPr>
        <w:t>consult current Kansas Administrative Regulations and OSBC guidance; verify the exact effective rule before use.</w:t>
      </w:r>
    </w:p>
    <w:p w14:paraId="4BC1290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4C4FF9F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Kansas Attorney General — Consumer Protection Division: </w:t>
      </w:r>
      <w:r w:rsidRPr="00566B6A">
        <w:rPr>
          <w:rFonts w:ascii="Courier New" w:hAnsi="Courier New" w:cs="Courier New"/>
          <w:sz w:val="22"/>
        </w:rPr>
        <w:t>consumer complaints, investigations, KCPA enforcement, and breach guidance.</w:t>
      </w:r>
    </w:p>
    <w:p w14:paraId="33362FD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Kansas OSBC / Consumer Credit Commissioner: </w:t>
      </w:r>
      <w:r w:rsidRPr="00566B6A">
        <w:rPr>
          <w:rFonts w:ascii="Courier New" w:hAnsi="Courier New" w:cs="Courier New"/>
          <w:sz w:val="22"/>
        </w:rPr>
        <w:t>UCCC and fair-credit-reporting complaints, examinations, enforcement, and oversight.</w:t>
      </w:r>
    </w:p>
    <w:p w14:paraId="40D5DED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Kansas identity-theft and freeze resources: </w:t>
      </w:r>
      <w:r w:rsidRPr="00566B6A">
        <w:rPr>
          <w:rFonts w:ascii="Courier New" w:hAnsi="Courier New" w:cs="Courier New"/>
          <w:sz w:val="22"/>
        </w:rPr>
        <w:t>preserve police/FTC reports, freeze confirmations, bureau disputes, creditor notices, and regulator submissions.</w:t>
      </w:r>
    </w:p>
    <w:p w14:paraId="67D1A2A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70590F38"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Kansas without municipal verification.</w:t>
      </w:r>
    </w:p>
    <w:p w14:paraId="67D233BA" w14:textId="77777777" w:rsidR="00964317" w:rsidRPr="00566B6A" w:rsidRDefault="00964317">
      <w:pPr>
        <w:spacing w:after="60"/>
        <w:rPr>
          <w:rFonts w:ascii="Courier New" w:hAnsi="Courier New" w:cs="Courier New"/>
          <w:sz w:val="22"/>
        </w:rPr>
      </w:pPr>
    </w:p>
    <w:p w14:paraId="23A9C68A"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6C90A9F" w14:textId="77777777">
        <w:trPr>
          <w:cantSplit/>
          <w:tblHeader/>
          <w:jc w:val="center"/>
        </w:trPr>
        <w:tc>
          <w:tcPr>
            <w:tcW w:w="2232" w:type="dxa"/>
            <w:shd w:val="clear" w:color="auto" w:fill="D9EAF7"/>
            <w:tcMar>
              <w:top w:w="55" w:type="dxa"/>
              <w:left w:w="55" w:type="dxa"/>
              <w:bottom w:w="55" w:type="dxa"/>
              <w:right w:w="55" w:type="dxa"/>
            </w:tcMar>
            <w:vAlign w:val="center"/>
          </w:tcPr>
          <w:p w14:paraId="433264E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F55409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49CB3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A97A35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660DDB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26DBB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4D686B0" w14:textId="77777777">
        <w:trPr>
          <w:cantSplit/>
          <w:jc w:val="center"/>
        </w:trPr>
        <w:tc>
          <w:tcPr>
            <w:tcW w:w="2232" w:type="dxa"/>
            <w:tcMar>
              <w:top w:w="50" w:type="dxa"/>
              <w:left w:w="55" w:type="dxa"/>
              <w:bottom w:w="50" w:type="dxa"/>
              <w:right w:w="55" w:type="dxa"/>
            </w:tcMar>
          </w:tcPr>
          <w:p w14:paraId="79A96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Finstad v. Washburn University</w:t>
            </w:r>
          </w:p>
        </w:tc>
        <w:tc>
          <w:tcPr>
            <w:tcW w:w="1152" w:type="dxa"/>
            <w:tcMar>
              <w:top w:w="50" w:type="dxa"/>
              <w:left w:w="55" w:type="dxa"/>
              <w:bottom w:w="50" w:type="dxa"/>
              <w:right w:w="55" w:type="dxa"/>
            </w:tcMar>
          </w:tcPr>
          <w:p w14:paraId="72D4F0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 Sup. Ct.</w:t>
            </w:r>
          </w:p>
        </w:tc>
        <w:tc>
          <w:tcPr>
            <w:tcW w:w="748" w:type="dxa"/>
            <w:tcMar>
              <w:top w:w="50" w:type="dxa"/>
              <w:left w:w="55" w:type="dxa"/>
              <w:bottom w:w="50" w:type="dxa"/>
              <w:right w:w="55" w:type="dxa"/>
            </w:tcMar>
          </w:tcPr>
          <w:p w14:paraId="6E26254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1993</w:t>
            </w:r>
          </w:p>
        </w:tc>
        <w:tc>
          <w:tcPr>
            <w:tcW w:w="2088" w:type="dxa"/>
            <w:tcMar>
              <w:top w:w="50" w:type="dxa"/>
              <w:left w:w="55" w:type="dxa"/>
              <w:bottom w:w="50" w:type="dxa"/>
              <w:right w:w="55" w:type="dxa"/>
            </w:tcMar>
          </w:tcPr>
          <w:p w14:paraId="487057E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252 Kan. 465, 845 P.2d 685</w:t>
            </w:r>
          </w:p>
        </w:tc>
        <w:tc>
          <w:tcPr>
            <w:tcW w:w="4536" w:type="dxa"/>
            <w:tcMar>
              <w:top w:w="50" w:type="dxa"/>
              <w:left w:w="55" w:type="dxa"/>
              <w:bottom w:w="50" w:type="dxa"/>
              <w:right w:w="55" w:type="dxa"/>
            </w:tcMar>
          </w:tcPr>
          <w:p w14:paraId="18E812C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KCPA recovery requires an aggrieved consumer and causation; a violation alone was insufficient without reliance or injury.</w:t>
            </w:r>
          </w:p>
        </w:tc>
        <w:tc>
          <w:tcPr>
            <w:tcW w:w="3643" w:type="dxa"/>
            <w:tcMar>
              <w:top w:w="50" w:type="dxa"/>
              <w:left w:w="55" w:type="dxa"/>
              <w:bottom w:w="50" w:type="dxa"/>
              <w:right w:w="55" w:type="dxa"/>
            </w:tcMar>
          </w:tcPr>
          <w:p w14:paraId="1A2627E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awareness or reliance, transaction decision, injury, loss, and direct causation.</w:t>
            </w:r>
          </w:p>
        </w:tc>
      </w:tr>
      <w:tr w:rsidR="00756B19" w:rsidRPr="00566B6A" w14:paraId="5698ECA4" w14:textId="77777777">
        <w:trPr>
          <w:cantSplit/>
          <w:jc w:val="center"/>
        </w:trPr>
        <w:tc>
          <w:tcPr>
            <w:tcW w:w="2232" w:type="dxa"/>
            <w:shd w:val="clear" w:color="auto" w:fill="F7FAFC"/>
            <w:tcMar>
              <w:top w:w="50" w:type="dxa"/>
              <w:left w:w="55" w:type="dxa"/>
              <w:bottom w:w="50" w:type="dxa"/>
              <w:right w:w="55" w:type="dxa"/>
            </w:tcMar>
          </w:tcPr>
          <w:p w14:paraId="74F9F4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Via Christi Regional Medical Center, Inc. v. Reed</w:t>
            </w:r>
          </w:p>
        </w:tc>
        <w:tc>
          <w:tcPr>
            <w:tcW w:w="1152" w:type="dxa"/>
            <w:shd w:val="clear" w:color="auto" w:fill="F7FAFC"/>
            <w:tcMar>
              <w:top w:w="50" w:type="dxa"/>
              <w:left w:w="55" w:type="dxa"/>
              <w:bottom w:w="50" w:type="dxa"/>
              <w:right w:w="55" w:type="dxa"/>
            </w:tcMar>
          </w:tcPr>
          <w:p w14:paraId="342ED89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 Sup. Ct.</w:t>
            </w:r>
          </w:p>
        </w:tc>
        <w:tc>
          <w:tcPr>
            <w:tcW w:w="748" w:type="dxa"/>
            <w:shd w:val="clear" w:color="auto" w:fill="F7FAFC"/>
            <w:tcMar>
              <w:top w:w="50" w:type="dxa"/>
              <w:left w:w="55" w:type="dxa"/>
              <w:bottom w:w="50" w:type="dxa"/>
              <w:right w:w="55" w:type="dxa"/>
            </w:tcMar>
          </w:tcPr>
          <w:p w14:paraId="043802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2013</w:t>
            </w:r>
          </w:p>
        </w:tc>
        <w:tc>
          <w:tcPr>
            <w:tcW w:w="2088" w:type="dxa"/>
            <w:shd w:val="clear" w:color="auto" w:fill="F7FAFC"/>
            <w:tcMar>
              <w:top w:w="50" w:type="dxa"/>
              <w:left w:w="55" w:type="dxa"/>
              <w:bottom w:w="50" w:type="dxa"/>
              <w:right w:w="55" w:type="dxa"/>
            </w:tcMar>
          </w:tcPr>
          <w:p w14:paraId="73BC4D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298 Kan. 503, 314 P.3d 852</w:t>
            </w:r>
          </w:p>
        </w:tc>
        <w:tc>
          <w:tcPr>
            <w:tcW w:w="4536" w:type="dxa"/>
            <w:shd w:val="clear" w:color="auto" w:fill="F7FAFC"/>
            <w:tcMar>
              <w:top w:w="50" w:type="dxa"/>
              <w:left w:w="55" w:type="dxa"/>
              <w:bottom w:w="50" w:type="dxa"/>
              <w:right w:w="55" w:type="dxa"/>
            </w:tcMar>
          </w:tcPr>
          <w:p w14:paraId="19F38D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fact issue existed whether the hospital knowingly misstated the amount owed; the asserted lien encumbered settlement funds and made the consumer aggrieved.</w:t>
            </w:r>
          </w:p>
        </w:tc>
        <w:tc>
          <w:tcPr>
            <w:tcW w:w="3643" w:type="dxa"/>
            <w:shd w:val="clear" w:color="auto" w:fill="F7FAFC"/>
            <w:tcMar>
              <w:top w:w="50" w:type="dxa"/>
              <w:left w:w="55" w:type="dxa"/>
              <w:bottom w:w="50" w:type="dxa"/>
              <w:right w:w="55" w:type="dxa"/>
            </w:tcMar>
          </w:tcPr>
          <w:p w14:paraId="2F9733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bills, credits, contracts, lien filings, calculations, knowledge evidence, affected funds, and economic harm.</w:t>
            </w:r>
          </w:p>
        </w:tc>
      </w:tr>
      <w:tr w:rsidR="00756B19" w:rsidRPr="00566B6A" w14:paraId="7EDC4511" w14:textId="77777777">
        <w:trPr>
          <w:cantSplit/>
          <w:jc w:val="center"/>
        </w:trPr>
        <w:tc>
          <w:tcPr>
            <w:tcW w:w="2232" w:type="dxa"/>
            <w:tcMar>
              <w:top w:w="50" w:type="dxa"/>
              <w:left w:w="55" w:type="dxa"/>
              <w:bottom w:w="50" w:type="dxa"/>
              <w:right w:w="55" w:type="dxa"/>
            </w:tcMar>
          </w:tcPr>
          <w:p w14:paraId="43BB22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State ex rel. Miller v. Midwest Service Bureau of Topeka, Inc.</w:t>
            </w:r>
          </w:p>
        </w:tc>
        <w:tc>
          <w:tcPr>
            <w:tcW w:w="1152" w:type="dxa"/>
            <w:tcMar>
              <w:top w:w="50" w:type="dxa"/>
              <w:left w:w="55" w:type="dxa"/>
              <w:bottom w:w="50" w:type="dxa"/>
              <w:right w:w="55" w:type="dxa"/>
            </w:tcMar>
          </w:tcPr>
          <w:p w14:paraId="7D1CCB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Kan. Sup. Ct.</w:t>
            </w:r>
          </w:p>
        </w:tc>
        <w:tc>
          <w:tcPr>
            <w:tcW w:w="748" w:type="dxa"/>
            <w:tcMar>
              <w:top w:w="50" w:type="dxa"/>
              <w:left w:w="55" w:type="dxa"/>
              <w:bottom w:w="50" w:type="dxa"/>
              <w:right w:w="55" w:type="dxa"/>
            </w:tcMar>
          </w:tcPr>
          <w:p w14:paraId="54C95B6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1981</w:t>
            </w:r>
          </w:p>
        </w:tc>
        <w:tc>
          <w:tcPr>
            <w:tcW w:w="2088" w:type="dxa"/>
            <w:tcMar>
              <w:top w:w="50" w:type="dxa"/>
              <w:left w:w="55" w:type="dxa"/>
              <w:bottom w:w="50" w:type="dxa"/>
              <w:right w:w="55" w:type="dxa"/>
            </w:tcMar>
          </w:tcPr>
          <w:p w14:paraId="4BC38F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229 Kan. 322, 623 P.2d 1343</w:t>
            </w:r>
          </w:p>
        </w:tc>
        <w:tc>
          <w:tcPr>
            <w:tcW w:w="4536" w:type="dxa"/>
            <w:tcMar>
              <w:top w:w="50" w:type="dxa"/>
              <w:left w:w="55" w:type="dxa"/>
              <w:bottom w:w="50" w:type="dxa"/>
              <w:right w:w="55" w:type="dxa"/>
            </w:tcMar>
          </w:tcPr>
          <w:p w14:paraId="285D48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The KCPA applies to independent debt collectors because enforcing consumer transactions makes them suppliers; deceptive or unconscionable collection may be covered.</w:t>
            </w:r>
          </w:p>
        </w:tc>
        <w:tc>
          <w:tcPr>
            <w:tcW w:w="3643" w:type="dxa"/>
            <w:tcMar>
              <w:top w:w="50" w:type="dxa"/>
              <w:left w:w="55" w:type="dxa"/>
              <w:bottom w:w="50" w:type="dxa"/>
              <w:right w:w="55" w:type="dxa"/>
            </w:tcMar>
          </w:tcPr>
          <w:p w14:paraId="1DB333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underlying transaction, collector role, demands, calls, threats, balances, charges, disputes, and assignments.</w:t>
            </w:r>
          </w:p>
        </w:tc>
      </w:tr>
    </w:tbl>
    <w:p w14:paraId="635296EF" w14:textId="77777777" w:rsidR="00756B19" w:rsidRPr="00566B6A" w:rsidRDefault="00756B19">
      <w:pPr>
        <w:spacing w:after="20"/>
        <w:rPr>
          <w:rFonts w:ascii="Courier New" w:hAnsi="Courier New" w:cs="Courier New"/>
          <w:sz w:val="22"/>
        </w:rPr>
      </w:pPr>
    </w:p>
    <w:p w14:paraId="72752F1B"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149D085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TK-Authority-2026-07-KS</w:t>
      </w:r>
    </w:p>
    <w:p w14:paraId="67548EF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 July 24, 2026</w:t>
      </w:r>
    </w:p>
    <w:p w14:paraId="31FCC85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KS + WA</w:t>
      </w:r>
    </w:p>
    <w:p w14:paraId="499F413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before use. Kansas statutes were checked against the 2026 Kansas Statutes and current agency materials; federal authorities against current U.S. Code and Regulation V materials available July 24, 2026.</w:t>
      </w:r>
    </w:p>
    <w:p w14:paraId="7D95EC5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7B98AE2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2B5D10D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2C5AD9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34661A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C0CF7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2873AAC8"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to identify federal and Kansas consumer-protection authorities. Laws and interpretations may change. This material is educational only and is not legal advice or representation.</w:t>
      </w:r>
    </w:p>
    <w:p w14:paraId="786B72E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4D24D7B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197598B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Kansas Administrative Regulations citation by agency, article, section, and subsection.</w:t>
      </w:r>
    </w:p>
    <w:p w14:paraId="4F70BEF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35B91D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5AF73CE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9E8223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REQUIRED SECTION DISCLAIMER (END)</w:t>
      </w:r>
    </w:p>
    <w:p w14:paraId="39747516"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5A489BC8" w14:textId="77777777" w:rsidR="00BD7EED" w:rsidRDefault="00BD7EED">
      <w:pPr>
        <w:keepLines/>
        <w:spacing w:before="40" w:after="0"/>
        <w:rPr>
          <w:rFonts w:ascii="Courier New" w:hAnsi="Courier New" w:cs="Courier New"/>
          <w:i/>
          <w:color w:val="464646"/>
          <w:sz w:val="22"/>
        </w:rPr>
      </w:pPr>
    </w:p>
    <w:p w14:paraId="793F004D" w14:textId="77777777" w:rsidR="00BD7EED" w:rsidRDefault="00BD7EED">
      <w:pPr>
        <w:keepLines/>
        <w:spacing w:before="40" w:after="0"/>
        <w:rPr>
          <w:rFonts w:ascii="Courier New" w:hAnsi="Courier New" w:cs="Courier New"/>
          <w:i/>
          <w:color w:val="464646"/>
          <w:sz w:val="22"/>
        </w:rPr>
      </w:pPr>
    </w:p>
    <w:p w14:paraId="4EA59E70" w14:textId="77777777" w:rsidR="00BD7EED" w:rsidRDefault="00BD7EED">
      <w:pPr>
        <w:keepLines/>
        <w:spacing w:before="40" w:after="0"/>
        <w:rPr>
          <w:rFonts w:ascii="Courier New" w:hAnsi="Courier New" w:cs="Courier New"/>
          <w:i/>
          <w:color w:val="464646"/>
          <w:sz w:val="22"/>
        </w:rPr>
      </w:pPr>
    </w:p>
    <w:p w14:paraId="41B72AA8" w14:textId="77777777" w:rsidR="00BD7EED" w:rsidRDefault="00BD7EED">
      <w:pPr>
        <w:keepLines/>
        <w:spacing w:before="40" w:after="0"/>
        <w:rPr>
          <w:rFonts w:ascii="Courier New" w:hAnsi="Courier New" w:cs="Courier New"/>
          <w:i/>
          <w:color w:val="464646"/>
          <w:sz w:val="22"/>
        </w:rPr>
      </w:pPr>
    </w:p>
    <w:p w14:paraId="42B7C716" w14:textId="77777777" w:rsidR="00BD7EED" w:rsidRDefault="00BD7EED">
      <w:pPr>
        <w:keepLines/>
        <w:spacing w:before="40" w:after="0"/>
        <w:rPr>
          <w:rFonts w:ascii="Courier New" w:hAnsi="Courier New" w:cs="Courier New"/>
          <w:i/>
          <w:color w:val="464646"/>
          <w:sz w:val="22"/>
        </w:rPr>
      </w:pPr>
    </w:p>
    <w:p w14:paraId="5C3A8A05" w14:textId="77777777" w:rsidR="00BD7EED" w:rsidRDefault="00BD7EED">
      <w:pPr>
        <w:keepLines/>
        <w:spacing w:before="40" w:after="0"/>
        <w:rPr>
          <w:rFonts w:ascii="Courier New" w:hAnsi="Courier New" w:cs="Courier New"/>
          <w:i/>
          <w:color w:val="464646"/>
          <w:sz w:val="22"/>
        </w:rPr>
      </w:pPr>
    </w:p>
    <w:p w14:paraId="0BEFAA58" w14:textId="77777777" w:rsidR="00BD7EED" w:rsidRDefault="00BD7EED">
      <w:pPr>
        <w:keepLines/>
        <w:spacing w:before="40" w:after="0"/>
        <w:rPr>
          <w:rFonts w:ascii="Courier New" w:hAnsi="Courier New" w:cs="Courier New"/>
          <w:i/>
          <w:color w:val="464646"/>
          <w:sz w:val="22"/>
        </w:rPr>
      </w:pPr>
    </w:p>
    <w:p w14:paraId="72054B27" w14:textId="77777777" w:rsidR="00BD7EED" w:rsidRDefault="00BD7EED">
      <w:pPr>
        <w:keepLines/>
        <w:spacing w:before="40" w:after="0"/>
        <w:rPr>
          <w:rFonts w:ascii="Courier New" w:hAnsi="Courier New" w:cs="Courier New"/>
          <w:i/>
          <w:color w:val="464646"/>
          <w:sz w:val="22"/>
        </w:rPr>
      </w:pPr>
    </w:p>
    <w:p w14:paraId="1C34DB2E" w14:textId="77777777" w:rsidR="00BD7EED" w:rsidRDefault="00BD7EED">
      <w:pPr>
        <w:keepLines/>
        <w:spacing w:before="40" w:after="0"/>
        <w:rPr>
          <w:rFonts w:ascii="Courier New" w:hAnsi="Courier New" w:cs="Courier New"/>
          <w:i/>
          <w:color w:val="464646"/>
          <w:sz w:val="22"/>
        </w:rPr>
      </w:pPr>
    </w:p>
    <w:p w14:paraId="6D976413" w14:textId="77777777" w:rsidR="00BD7EED" w:rsidRDefault="00BD7EED">
      <w:pPr>
        <w:keepLines/>
        <w:spacing w:before="40" w:after="0"/>
        <w:rPr>
          <w:rFonts w:ascii="Courier New" w:hAnsi="Courier New" w:cs="Courier New"/>
          <w:i/>
          <w:color w:val="464646"/>
          <w:sz w:val="22"/>
        </w:rPr>
      </w:pPr>
    </w:p>
    <w:p w14:paraId="372A5196" w14:textId="77777777" w:rsidR="00BD7EED" w:rsidRDefault="00BD7EED">
      <w:pPr>
        <w:keepLines/>
        <w:spacing w:before="40" w:after="0"/>
        <w:rPr>
          <w:rFonts w:ascii="Courier New" w:hAnsi="Courier New" w:cs="Courier New"/>
          <w:i/>
          <w:color w:val="464646"/>
          <w:sz w:val="22"/>
        </w:rPr>
      </w:pPr>
    </w:p>
    <w:p w14:paraId="335C40D1" w14:textId="77777777" w:rsidR="00BD7EED" w:rsidRDefault="00BD7EED">
      <w:pPr>
        <w:keepLines/>
        <w:spacing w:before="40" w:after="0"/>
        <w:rPr>
          <w:rFonts w:ascii="Courier New" w:hAnsi="Courier New" w:cs="Courier New"/>
          <w:i/>
          <w:color w:val="464646"/>
          <w:sz w:val="22"/>
        </w:rPr>
      </w:pPr>
    </w:p>
    <w:p w14:paraId="6FD257A4" w14:textId="77777777" w:rsidR="00BD7EED" w:rsidRDefault="00BD7EED">
      <w:pPr>
        <w:keepLines/>
        <w:spacing w:before="40" w:after="0"/>
        <w:rPr>
          <w:rFonts w:ascii="Courier New" w:hAnsi="Courier New" w:cs="Courier New"/>
          <w:i/>
          <w:color w:val="464646"/>
          <w:sz w:val="22"/>
        </w:rPr>
      </w:pPr>
    </w:p>
    <w:p w14:paraId="6CD0DD27" w14:textId="77777777" w:rsidR="00BD7EED" w:rsidRPr="00566B6A" w:rsidRDefault="00BD7EED">
      <w:pPr>
        <w:keepLines/>
        <w:spacing w:before="40" w:after="0"/>
        <w:rPr>
          <w:rFonts w:ascii="Courier New" w:hAnsi="Courier New" w:cs="Courier New"/>
          <w:sz w:val="22"/>
        </w:rPr>
      </w:pPr>
    </w:p>
    <w:sectPr w:rsidR="00BD7EED" w:rsidRPr="00566B6A"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34F3" w14:textId="77777777" w:rsidR="00B0391F" w:rsidRDefault="00B0391F">
      <w:pPr>
        <w:spacing w:after="0" w:line="240" w:lineRule="auto"/>
      </w:pPr>
      <w:r>
        <w:separator/>
      </w:r>
    </w:p>
  </w:endnote>
  <w:endnote w:type="continuationSeparator" w:id="0">
    <w:p w14:paraId="608CD26B" w14:textId="77777777" w:rsidR="00B0391F" w:rsidRDefault="00B03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2E7"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D6E5F" w14:textId="77777777" w:rsidR="00B0391F" w:rsidRDefault="00B0391F">
      <w:pPr>
        <w:spacing w:after="0" w:line="240" w:lineRule="auto"/>
      </w:pPr>
      <w:r>
        <w:separator/>
      </w:r>
    </w:p>
  </w:footnote>
  <w:footnote w:type="continuationSeparator" w:id="0">
    <w:p w14:paraId="31519ED1" w14:textId="77777777" w:rsidR="00B0391F" w:rsidRDefault="00B03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0026" w14:textId="77777777" w:rsidR="00756B19" w:rsidRDefault="00F247EE">
    <w:pPr>
      <w:pStyle w:val="Header"/>
      <w:jc w:val="right"/>
    </w:pPr>
    <w:r>
      <w:rPr>
        <w:b/>
        <w:color w:val="505050"/>
        <w:sz w:val="15"/>
      </w:rPr>
      <w:t>GLADIC AI™ — SECTION 3A | KANSAS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29639D"/>
    <w:rsid w:val="00326F90"/>
    <w:rsid w:val="00463F22"/>
    <w:rsid w:val="00566B6A"/>
    <w:rsid w:val="00655F05"/>
    <w:rsid w:val="006F27AD"/>
    <w:rsid w:val="00736F61"/>
    <w:rsid w:val="00756B19"/>
    <w:rsid w:val="00964317"/>
    <w:rsid w:val="00AA1D8D"/>
    <w:rsid w:val="00B0391F"/>
    <w:rsid w:val="00B47730"/>
    <w:rsid w:val="00BD7EED"/>
    <w:rsid w:val="00CB0664"/>
    <w:rsid w:val="00F247EE"/>
    <w:rsid w:val="00F758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50A26"/>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4372</Words>
  <Characters>24926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29240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2026-07-24T07:00:00Z</dcterms:created>
  <dcterms:modified xsi:type="dcterms:W3CDTF">2026-07-24T07:00:00Z</dcterms:modified>
  <cp:category/>
</cp:coreProperties>
</file>