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Kentucky (KY)</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Kentucky Consumer Protection Act (KCPA)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KRS §§ 367.110 through 367.360</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KRS § 367.170 declares unfair, false, misleading, or deceptive acts or practices in trade or commerce unlawful and defines unfair conduct as unconscionable. A private action generally requires a qualifying purchase or lease for personal, family, or household purposes and an ascertainable loss caused by the unlawful practice.</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KRS § 367.220 authorizes actual damages and equitable relief for a qualifying purchaser or lessee. Punitive damages remain available where independently appropriate. The court may award reasonable attorney’s fees and costs to the prevailing party. The Attorney General may pursue injunctions, restoration of property, receivership, assurances of voluntary compliance, and other statutory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by KRS § 367.220 for a person who purchases or leases goods or services primarily for personal, family, or household purposes and suffers an ascertainable loss as a result of conduct declared unlawful by § 367.170. An action must generally be brought within one year after an Attorney General action has terminated or within two years after the violation, whichever is later, under § 367.220(5).</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Kentucky Attorney General — Office of Consumer Protection; KRS § 367.150.</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derogatory-tradeline activity present — review whether the challenged collection conduct is unfair, false, misleading, deceptive, or unconscionable under KRS § 367.170, and whether the federal FDCPA separately applies to the actor.</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Kentucky does not maintain a single comprehensive state analogue to the federal FDCPA for all collectors. Qualifying collection practices may be analyzed under KRS § 367.170, contract and lien law, licensing or financial-services statutes, and the federal Fair Debt Collection Practices Act.</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KRS § 367.170;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Kentucky Attorney General — Office of Consumer Protection; Kentucky Department of Financial Institutions for regulated financial entities within its jurisdiction; CFPB and FTC where federal law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Kentucky does not maintain a broad state analogue to the federal FCRA governing general accuracy and reinvestigation duties. KRS §§ 367.363 through 367.365 establish consumer and protected-person security-freeze procedures. Federal FCRA procedures remain the primary accuracy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A consumer may place, temporarily lift, or remove a security freeze under KRS § 367.365. Protected-person freezes are addressed in KRS § 367.3645, with definitions in § 367.363 and statutory exceptions in § 367.364.</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Kentucky security-freeze procedures to restrict specified releases of consumer reports and credit scores.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Kentucky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Kentucky supplements identity protection through consumer and protected-person security freezes, identity-theft criminal law, and breach-notification procedures.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KRS § 367.365 provides actual and liquidated damages of $100 to $1,000, punitive damages, costs, and reasonable attorney’s fees for willful noncompliance, and actual damages, costs, and fees for negligent noncompliance. KRS § 367.3645 provides comparable relief for qualifying protected-person violations.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Information covered by the consumer file: Under 15 U.S.C. § 1681a(g), a consumer “file” includes all information about the consumer recorded and retained by a consumer reporting agency, regardless of storage method. This permits a consumer to dispute personal identifiers </w:t>
      </w:r>
      <w:r w:rsidRPr="00566B6A">
        <w:rPr>
          <w:rFonts w:ascii="Courier New" w:hAnsi="Courier New" w:cs="Courier New"/>
          <w:bCs/>
          <w:sz w:val="22"/>
        </w:rPr>
        <w:lastRenderedPageBreak/>
        <w:t>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w:t>
      </w:r>
      <w:r w:rsidRPr="00566B6A">
        <w:rPr>
          <w:rFonts w:ascii="Courier New" w:hAnsi="Courier New" w:cs="Courier New"/>
          <w:bCs/>
          <w:sz w:val="22"/>
        </w:rPr>
        <w:lastRenderedPageBreak/>
        <w:t>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KRS § 514.160 criminalizes theft of identity, including unauthorized use of another person’s identifying information for specified unlawful purposes. KRS § 514.170 separately addresses trafficking in stolen identities.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connection: Identity-theft documentation may support police reporting, creditor notifications, federal fraud alerts and blocking, Kentucky security freezes, and correction of mixed-file or fraudulent information.</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police and FTC identity-theft reports, fraud alerts, security freezes, creditor notifications, federal blocking requests, and documented bureau disputes.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freeze confirmations, creditor notices, bureau dispute and blocking responses, court records,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Breach notice: KRS § 365.732 requires qualifying notice to affected persons when unencrypted personally identifiable information was, or is reasonably believed to have been, acquired by an </w:t>
      </w:r>
      <w:r w:rsidRPr="00566B6A">
        <w:rPr>
          <w:rFonts w:ascii="Courier New" w:hAnsi="Courier New" w:cs="Courier New"/>
          <w:bCs/>
          <w:sz w:val="22"/>
        </w:rPr>
        <w:lastRenderedPageBreak/>
        <w:t>unauthorized person, subject to statutory investigation, timing, and law-enforcement-delay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Kentucky’s customer-record protection provisions are codified at KRS §§ 365.720 through 365.732, with the computer-security-breach notice requirement in § 365.732.</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Kentucky has enacted a broader Consumer Data Protection Act with provisions becoming operative on the statutory schedule. This Section 3A remains focused on the listed credit, identity-theft, breach, collection, and consumer-protection authorities.</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breach-investigation findings, affected data elements, resident notices, delivery dates, law-enforcement delay requests, consumer-reporting-agency notices where required, and remediation records.</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Kentucky Attorney General — Office of Consumer Protection: Consumer complaint intake, investigation, education, KCPA enforcement, restitution, injunction, and related statutory relief.</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Kentucky Department of Financial Institutions: Complaint and regulatory pathways for state-regulated financial institutions, lenders, brokers, servicers, and other covered entities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Kentucky intake where federal consumer-finance, credit-reporting, or debt-collection law applies.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Kentucky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KRS §§ 367.110–360</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KCPA — unfair, false, misleading, deceptive, or unconscionable trade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equitable relief, fees/costs; punitive relief where appropriate; public injunction/restoration</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Purchase/lease; representation or practice; ascertainable loss; causation; damages; § 367.220(5)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KRS § 367.170; federal FDCPA</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conduct evaluated under Kentucky unfair/deceptive standards and federal law</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KCPA relief for qualifying transactions; federal damages, penalties, costs, and fees where applicable</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Actor status; calls/letters; liens; charges; disputes; account ledger; counsel notice; state/federal analysis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KRS §§ 367.363–365</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and protected-person security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Actual/liquidated damages, punitive damages, costs, fees, and negligent relief where authorized</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request; confirmation; release history; lift/removal request; address-change notice; damages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KRS § 365.732</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Computer-security breach notice involving personally identifiable information</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Required investigation and notice; claim-specific enforcement and remedies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findings; dates; affected data; notices; delay request;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KRS §§ 514.160–170</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Theft of identity and trafficking in stolen identities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restitution where authorized, and restoration documentation</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fraudulent accounts; creditor/bureau notices; loss trail</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Kentucky AG — Office of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KCPA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assurance, injunction, restoration, receivership,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Kentucky DFI / Attorney General</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State-regulated financial entities and consumer-protection matters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review, licensing, examination, referral, or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 lookup; complaint file; account records; agency response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Kentucky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Kentucky (KY)</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applies the federal FDCPA to a Kentucky collection matter involving an allegedly invalid judgment lien; it should not be described as creating a general private collection claim under KRS § 367.170.</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Craig &amp; Bishop, Inc. v. Piles</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Ky.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247 S.W.3d 897</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Consumers who obtained an equitable vehicle interest by negotiation and delivery of value qualified as KCPA purchasers; the Act broadly protects against deceptive trade practices.</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transaction, value exchanged, possession or equitable interest, representations, loss, and damages.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Capitol Cadillac Olds, Inc. v. Roberts</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Ky.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1991</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813 S.W.2d 287</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 every contract failure triggers the KCPA; the evidence must show unfair, false, misleading, or deceptive conduct beyond ordinary negligent performance.</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breach from deception; preserve promises, repair records, knowledge evidence, communications, and loss.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Currier v. First Resolution Investment Corp.</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6th Cir.</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762 F.3d 529</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Filing and retaining an invalid judgment lien while the collection case remained pending stated a plausible FDCPA unfair-collection claim.</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complaint, judgment status, motions, lien filing/release, title records, dates, amount, and consequences.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Craig &amp; Bishop, Inc. v. Piles</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Ky.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247 S.W.3d 897</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Consumers who obtained an equitable vehicle interest by negotiation and delivery of value qualified as KCPA purchasers; the Act broadly protects against deceptive trade practices.</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transaction, value exchanged, possession or equitable interest, representations, loss, and damages.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Capitol Cadillac Olds, Inc. v. Roberts</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Ky.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1991</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813 S.W.2d 287</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 every contract failure triggers the KCPA; the evidence must show unfair, false, misleading, or deceptive conduct beyond ordinary negligent performance.</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breach from deception; preserve promises, repair records, knowledge evidence, communications, and loss.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Currier v. First Resolution Investment Corp.</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6th Cir.</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762 F.3d 529</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Filing and retaining an invalid judgment lien while the collection case remained pending stated a plausible FDCPA unfair-collection claim.</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complaint, judgment status, motions, lien filing/release, title records, dates, amount, and consequences.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Kentucky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Kentucky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Kentucky mini-FCRA; KRS §§ 367.363–365 address freezes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asserting parallel Kentucky accuracy duties without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Kentucky law only for factually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preserve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KRS §§ 514.160–170;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fraudulent items, freezes, federal block requests, CRA notices, and decisions.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KRS § 367.170;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Classify the actor and transaction; preserve communications, liens, charges, disputes, account records, and legal authority.</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KRS §§ 367.363–365</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lift/removal requests, address-change notices,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KRS § 365.732</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findings, affected data, resident notices, dates, delay records,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KCPA, KRS §§ 367.110–360</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qualifying purchase or lease, unlawful practice, ascertainable loss, causation, remedies, and § 367.220(5)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distinct collection communications or liens, security-freeze violations, breach-notification duties, and KCPA conduct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Kentucky claims that attempt to impose accuracy, reinvestigation, or furnishing duties parallel to the FCRA without a preserved state provision or factually distinct conduct.</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Kentucky complaint with the Attorney General’s Office of Consumer Protection or the Department of Financial Institutions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Kentucky AG / DFI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KCPA purchase/lease, practice, ascertainable-loss, causation, and remedy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Qualifying transaction, unlawful practice, ascertainable loss, causation, damages/equity, and § 367.220(5)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Kentucky KCPA purchaser-or-lessee status, unlawful practice, ascertainable loss, causation, remedies, and § 367.220(5) timing review</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Kentucky collection-conduct, lien, charge, communication, actor-status, and federal FDCPA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Kentucky (KY)</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Kentucky Consumer Protection Act (KCPA) | </w:t>
      </w:r>
      <w:r w:rsidRPr="00566B6A">
        <w:rPr>
          <w:rFonts w:ascii="Courier New" w:hAnsi="Courier New" w:cs="Courier New"/>
          <w:sz w:val="22"/>
        </w:rPr>
        <w:t>KRS §§ 367.110–367.360 | Remedies: actual damages, equity, punitive relief where appropriate, fees/costs, and AG injunction, restoration, and receivership. | Authority: AG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Kentucky Collection-Practice Framework | </w:t>
      </w:r>
      <w:r w:rsidRPr="00566B6A">
        <w:rPr>
          <w:rFonts w:ascii="Courier New" w:hAnsi="Courier New" w:cs="Courier New"/>
          <w:sz w:val="22"/>
        </w:rPr>
        <w:t>KRS § 367.170; federal FDCPA | Remedies: KCPA relief for qualifying purchaser/lessee claims and federal relief for covered debt-collector conduct. | Authority: AG / courts / federal regulators.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Kentucky Security-Freeze Law | </w:t>
      </w:r>
      <w:r w:rsidRPr="00566B6A">
        <w:rPr>
          <w:rFonts w:ascii="Courier New" w:hAnsi="Courier New" w:cs="Courier New"/>
          <w:sz w:val="22"/>
        </w:rPr>
        <w:t>KRS §§ 367.363–367.365, including § 367.3645 | Remedies: placement, lift/removal, actual and liquidated damages, punitive damages, costs, fees, and negligent relief where authorized. | Authority: courts / CRAs / AG.</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Kentucky Security-Breach Notification Law | </w:t>
      </w:r>
      <w:r w:rsidRPr="00566B6A">
        <w:rPr>
          <w:rFonts w:ascii="Courier New" w:hAnsi="Courier New" w:cs="Courier New"/>
          <w:sz w:val="22"/>
        </w:rPr>
        <w:t>KRS § 365.732, within §§ 365.720–365.732 | Remedies: required notice and claim-specific statutory relief. | Authority: AG / courts as authorized.</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Kentucky Identity-Theft Provisions | </w:t>
      </w:r>
      <w:r w:rsidRPr="00566B6A">
        <w:rPr>
          <w:rFonts w:ascii="Courier New" w:hAnsi="Courier New" w:cs="Courier New"/>
          <w:sz w:val="22"/>
        </w:rPr>
        <w:t>KRS §§ 514.160–514.170 | Remedies: criminal penalties, authorized restitution, and restoration records.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Kentucky Consumer-Protection and Financial-Service Regulations — </w:t>
      </w:r>
      <w:r w:rsidRPr="00566B6A">
        <w:rPr>
          <w:rFonts w:ascii="Courier New" w:hAnsi="Courier New" w:cs="Courier New"/>
          <w:sz w:val="22"/>
        </w:rPr>
        <w:t>consult current KAR and AG/DFI guidance; verify the exact effective regulation before use.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Kentucky Attorney General — Office of Consumer Protection: </w:t>
      </w:r>
      <w:r w:rsidRPr="00566B6A">
        <w:rPr>
          <w:rFonts w:ascii="Courier New" w:hAnsi="Courier New" w:cs="Courier New"/>
          <w:sz w:val="22"/>
        </w:rPr>
        <w:t>complaints, investigation, KCPA enforcement, restitution, and injunction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Kentucky Department of Financial Institutions: </w:t>
      </w:r>
      <w:r w:rsidRPr="00566B6A">
        <w:rPr>
          <w:rFonts w:ascii="Courier New" w:hAnsi="Courier New" w:cs="Courier New"/>
          <w:sz w:val="22"/>
        </w:rPr>
        <w:t>complaints and oversight for covered state-regulated financial providers.</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Kentucky identity-theft and freeze resources: </w:t>
      </w:r>
      <w:r w:rsidRPr="00566B6A">
        <w:rPr>
          <w:rFonts w:ascii="Courier New" w:hAnsi="Courier New" w:cs="Courier New"/>
          <w:sz w:val="22"/>
        </w:rPr>
        <w:t>preserve reports, freeze confirmations, disputes, creditor notices, and agency submissions.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Kentucky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Craig &amp; Bishop, Inc. v. Piles</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Ky.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247 S.W.3d 897</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Consumers who obtained an equitable vehicle interest by negotiation and delivery of value qualified as KCPA purchasers; the Act broadly protects against deceptive trade practices.</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transaction, value exchanged, possession or equitable interest, representations, loss, and damages.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Capitol Cadillac Olds, Inc. v. Roberts</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Ky.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1991</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813 S.W.2d 287</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 every contract failure triggers the KCPA; the evidence must show unfair, false, misleading, or deceptive conduct beyond ordinary negligent performance.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breach from deception; preserve promises, repair records, knowledge evidence, communications, and loss.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Currier v. First Resolution Investment Corp.</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6th Cir.</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762 F.3d 529</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Filing and retaining an invalid judgment lien while the collection case remained pending stated a plausible FDCPA unfair-collection claim.</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complaint, judgment status, motions, lien filing/release, title records, dates, amount, and consequences.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TK-Authority-2026-07-KY</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KY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before use. Kentucky statutes were checked through the 2026 Regular Session and current agency materials; federal authorities against current U.S. Code and Regulation V materials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to identify federal and Kentucky consumer-protection authorities. Laws and interpretations may change. This material is educational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Kentucky Administrative Regulations citation by title, chapter, section, and subsection.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E4535" w14:textId="77777777" w:rsidR="009135C0" w:rsidRDefault="009135C0">
      <w:pPr>
        <w:spacing w:after="0" w:line="240" w:lineRule="auto"/>
      </w:pPr>
      <w:r>
        <w:separator/>
      </w:r>
    </w:p>
  </w:endnote>
  <w:endnote w:type="continuationSeparator" w:id="0">
    <w:p w14:paraId="327BC42C" w14:textId="77777777" w:rsidR="009135C0" w:rsidRDefault="00913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736EC" w14:textId="77777777" w:rsidR="009135C0" w:rsidRDefault="009135C0">
      <w:pPr>
        <w:spacing w:after="0" w:line="240" w:lineRule="auto"/>
      </w:pPr>
      <w:r>
        <w:separator/>
      </w:r>
    </w:p>
  </w:footnote>
  <w:footnote w:type="continuationSeparator" w:id="0">
    <w:p w14:paraId="03A1F7CF" w14:textId="77777777" w:rsidR="009135C0" w:rsidRDefault="00913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KENTUCKY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135C0"/>
    <w:rsid w:val="00964317"/>
    <w:rsid w:val="00AA1D8D"/>
    <w:rsid w:val="00B47730"/>
    <w:rsid w:val="00BD7EED"/>
    <w:rsid w:val="00C01452"/>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4267</Words>
  <Characters>24328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2026-07-24T07:18:00Z</dcterms:created>
  <dcterms:modified xsi:type="dcterms:W3CDTF">2026-07-24T07:18:00Z</dcterms:modified>
  <cp:category/>
</cp:coreProperties>
</file>