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Louisiana (LA)</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 for this Louisiana-only module.</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Louisiana Unfair Trade Practices and Consumer Protection Law (LUTPA)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La. R.S. §§ 51:1401 through 51:1430</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methods of competition and unfair or deceptive acts or practices in the conduct of trade or commerce. Louisiana courts apply LUTPA narrowly and evaluate the challenged conduct case-by-case.</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person suffering an ascertainable loss may seek actual damages. Treble damages may be available when the unfair or deceptive method, act, or practice was knowingly used after notice from the Attorney General. When damages are awarded, the court shall award reasonable attorney’s fees and costs. The Attorney General may pursue injunctive, restorative, civil-penalty, and other relief authorized by LUTPA.</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Available to a person who suffers an ascertainable loss from a prohibited method, act, or practice. An individual claim may not be brought in a representative capacity. A copy of the petition and any judgment or decree must be mailed to the Attorney General. Under La. R.S. § 51:1409(E), the action is subject to a one-year liberative prescription running from the transaction or act.</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Louisiana Attorney General — Public Protection Division, Consumer Protection Section.</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 or tradeline derogatory activity present — review Louisiana creditor-contact restrictions, applicable consumer-credit licensing requirements, and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Overview: La. R.S. § 9:3562 restricts unauthorized creditor collection practices, including specified communications to third persons and contacts after a consumer sends a qualifying written cease-contact notice. The federal Fair Debt Collection Practices Act (FDCPA) remains the principal consumer-conduct statute for qualifying third-party debt collectors.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La. R.S. § 9:3562;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Louisiana Attorney General; Louisiana Office of Financial Institutions, where its consumer-credit jurisdiction applies;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Louisiana provides state consumer-reporting protections under La. R.S. § 9:3571.1, including file-access, accuracy, dispute-investigation, correction, security-alert, and security-freeze provisions. Federal FCRA procedures remain the primary national framework, and overlapping state claims require separate preemption review.</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Louisiana consumers may request placement, temporary lifting, or removal of a security freeze under La. R.S. § 9:3571.1(M) through (W), subject to the statute’s identity-verification and exception provisions.</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request access to information maintained about them and use Louisiana dispute procedures under La. R.S. § 9:3571.1(A) through (G), together with federal file-disclosure rights.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and, where applicable, La. R.S. § 9:3571.1. Louisiana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Louisiana supplements protection through its security-alert, security-freeze, identity-theft-report, and law-enforcement provisions.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La. R.S. § 9:3571.1(F), (G), and (Y) provide actual-damages and attorney-fee remedies for specified negligent or intentional violations, subject to the statute’s terms.</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w:t>
      </w:r>
      <w:r w:rsidRPr="00566B6A">
        <w:rPr>
          <w:rFonts w:ascii="Courier New" w:hAnsi="Courier New" w:cs="Courier New"/>
          <w:bCs/>
          <w:sz w:val="22"/>
        </w:rPr>
        <w:lastRenderedPageBreak/>
        <w:t>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La. R.S. § 14:67.16 criminalizes the intentional fraudulent use of another person’s identifying information and authorizes restitution-related relief in qualifying cases.</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Police-report procedure: A person who reasonably believes they are an identity-theft victim may report the incident to local law enforcement under La. R.S. § 14:67.16(H); the agency must take the complaint and begin an investigation as required by the statute.</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alert or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La. R.S. § 51:3074 requires covered persons or agencies to maintain reasonable security procedures and notify affected Louisiana residents after a qualifying breach, generally in the most expedient time possible and no later than sixty days after discovery, subject to statutory exceptions and authorized delay.</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Louisiana’s Database Security Breach Notification Law is codified at La. R.S. §§ 51:3071 through 51:3077.</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Privacy rights: No general omnibus Louisiana consumer-data privacy act is identified for this module; sector-specific Louisiana and federal privacy rules may apply depending on the holder and type of information.</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breach-investigation records, any no-harm determination retained under the statute, notice content, delivery dates, Attorney General communications,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Louisiana Attorney General: Public Protection Division, Consumer Protection Section — consumer complaint intake and LUTPA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Louisiana Office of Financial Institutions: Licensing, examination, complaint review, and administrative oversight for consumer-credit businesses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Louisiana law enforcement: Local law-enforcement agencies receive identity-theft complaints and begin investigations as required by La. R.S. § 14:67.16(H).</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Louisiana without municipal or parish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 R.S. §§ 51:1401–1430</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LUTPA — unfair or deceptive trade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conditional treble damages; fees and costs; AG injunctive/restorative relief</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proof; representation; ascertainable loss; timing; AG notice record</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 R.S. § 9:3562</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Unauthorized collection contacts and post-notice limits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Article 2315 damages; separate administrative or federal remedies</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Third-party contact; cease notice; delivery proof; call and mail logs</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w:t>
            </w:r>
            <w:r w:rsidRPr="00566B6A">
              <w:rPr>
                <w:rFonts w:ascii="Courier New" w:hAnsi="Courier New" w:cs="Courier New"/>
                <w:sz w:val="22"/>
              </w:rPr>
              <w:br/>
              <w:t>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 R.S. § 9:3571.1</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access, accuracy, disputes, correction, alerts, and freezes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and attorney’s fees and costs, subject to statutory terms</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File disclosure; dispute result; correction trail; alert or freeze confirmation</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 R.S. §§ 51:3071–3077</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security, breach investigation, and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for untimely notice; LUTPA and AG enforcement</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investigation and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 R.S. § 14:67.16</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restitution, and police-report procedure</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remedies, restitution, and identity-restoration record</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affidavit; creditor and bureau notices; court order</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Louisiana AG — Consumer Protection Section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intake and LUTPA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voluntary compliance, or civil enforcement as authorized</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Louisiana OFI / local law enforcement</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Consumer-credit oversight and identity-theft intake</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Administrative action or investigation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or police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or parish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Louisiana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 xml:space="preserve">Furnisher duties after CRA dispute notice; </w:t>
            </w:r>
            <w:r w:rsidRPr="00566B6A">
              <w:rPr>
                <w:rFonts w:ascii="Courier New" w:hAnsi="Courier New" w:cs="Courier New"/>
                <w:sz w:val="22"/>
              </w:rPr>
              <w:lastRenderedPageBreak/>
              <w:t>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Investigation and modification, deletion, or permanent block where </w:t>
            </w:r>
            <w:r w:rsidRPr="00566B6A">
              <w:rPr>
                <w:rFonts w:ascii="Courier New" w:hAnsi="Courier New" w:cs="Courier New"/>
                <w:sz w:val="22"/>
              </w:rPr>
              <w:lastRenderedPageBreak/>
              <w:t>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CRA dispute ID; identity-theft report; proof of identity; exact disputed </w:t>
            </w:r>
            <w:r w:rsidRPr="00566B6A">
              <w:rPr>
                <w:rFonts w:ascii="Courier New" w:hAnsi="Courier New" w:cs="Courier New"/>
                <w:sz w:val="22"/>
              </w:rPr>
              <w:lastRenderedPageBreak/>
              <w:t>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Louisiana (LA)</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is a federal case applying La. R.S. § 9:3562; it should not be described as creating a standalone claim beyond the statute and applicable Louisiana remedies.</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Cheramie Services, Inc. v. Shell Deepwater Production, Inc.</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2010</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2009-1633 (La. 4/23/10), 35 So. 3d 1053</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Recognized that LUTPA’s private right is not limited to consumers or business competitors, while emphasizing the statute’s extremely narrow range. Summary judgment remained proper because the record lacked evidence of an unfair or deceptive method, act, or practice.</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trade or commerce, ascertainable loss, and concrete unfair or deceptive conduct; distinguish the claim from an ordinary contract or business dispute.</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Quality Environmental Processes, Inc. v. I.P. Petroleum Co.</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2013-1582 (La. 5/7/14), 144 So. 3d 1011</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Explained that an unfair practice must offend established public policy and be unethical, oppressive, unscrupulous, or substantially injurious. The challenged conduct did not reach LUTPA’s narrow threshold.</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specific act, context, intent evidence, consumer or business loss, and public-policy basis; avoid merely relabeling a contract or discovery dispute.</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Saragusa v. Countrywide Home Loans, Inc.</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E.D. La.</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2016</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14-2717, 2016 WL 1059004, at *5, aff’d, 707 F. App’x 797 (5th Cir. 2017)</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La. R.S. § 9:3562 as a restriction on creditor communications to third persons about the debtor’s obligation. The claim failed because no qualifying third-party communication was alleged.</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third party’s identity, household status, date, method, and content of each communication; retain consent or exception evidence, certified cease-contact notice, delivery proof, and damages.</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Cheramie Services, Inc. v. Shell Deepwater Production, Inc.</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2010</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2009-1633 (La. 4/23/10), 35 So. 3d 1053</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Recognized that LUTPA’s private right is not limited to consumers or business competitors, while emphasizing the statute’s extremely narrow range. Summary judgment remained proper because the record lacked evidence of an unfair or deceptive method, act, or practice.</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trade or commerce, ascertainable loss, and concrete unfair or deceptive conduct; distinguish the claim from an ordinary contract or business dispute.</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Quality Environmental Processes, Inc. v. I.P. Petroleum Co.</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2013-1582 (La. 5/7/14), 144 So. 3d 1011</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Explained that an unfair practice must offend established public policy and be unethical, oppressive, unscrupulous, or substantially injurious. The challenged conduct did not reach LUTPA’s narrow threshold.</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specific act, context, intent evidence, consumer or business loss, and public-policy basis; avoid merely relabeling a contract or discovery dispute.</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Saragusa v. Countrywide Home Loans, Inc.</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E.D. La.</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2016</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14-2717, 2016 WL 1059004, at *5, aff’d, 707 F. App’x 797 (5th Cir. 2017)</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La. R.S. § 9:3562 as a restriction on creditor communications to third persons about the debtor’s obligation. The claim failed because no qualifying third-party communication was alleged.</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third party’s identity, household status, date, method, and content of each communication; retain consent or exception evidence, certified cease-contact notice, delivery proof, and damages.</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Louisiana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Louisiana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w:t>
            </w:r>
            <w:r w:rsidRPr="00566B6A">
              <w:rPr>
                <w:rFonts w:ascii="Courier New" w:hAnsi="Courier New" w:cs="Courier New"/>
                <w:b/>
                <w:sz w:val="22"/>
              </w:rPr>
              <w:br/>
              <w:t>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w:t>
            </w:r>
            <w:r w:rsidRPr="00566B6A">
              <w:rPr>
                <w:rFonts w:ascii="Courier New" w:hAnsi="Courier New" w:cs="Courier New"/>
                <w:b/>
                <w:sz w:val="22"/>
              </w:rPr>
              <w:br/>
              <w:t>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w:t>
            </w:r>
            <w:r w:rsidRPr="00566B6A">
              <w:rPr>
                <w:rFonts w:ascii="Courier New" w:hAnsi="Courier New" w:cs="Courier New"/>
                <w:sz w:val="22"/>
              </w:rPr>
              <w:br/>
              <w:t>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 R.S. § 9:3571.1(A)–(G); federal FCRA</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the FCRA dispute and method-of-verification record; evaluate any Louisiana reporting claim separately for express and conflict preemption.</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w:t>
            </w:r>
            <w:r w:rsidRPr="00566B6A">
              <w:rPr>
                <w:rFonts w:ascii="Courier New" w:hAnsi="Courier New" w:cs="Courier New"/>
                <w:sz w:val="22"/>
              </w:rPr>
              <w:br/>
              <w:t>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Louisiana law evaluated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the 15 U.S.C. § 1681s-2 framework and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w:t>
            </w:r>
            <w:r w:rsidRPr="00566B6A">
              <w:rPr>
                <w:rFonts w:ascii="Courier New" w:hAnsi="Courier New" w:cs="Courier New"/>
                <w:sz w:val="22"/>
              </w:rPr>
              <w:br/>
              <w:t>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 R.S. § 14:67.16; § 9:3571.1(I)–(W)</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police/FTC identity-theft reports, Louisiana security alerts or freezes, and federal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w:t>
            </w:r>
            <w:r w:rsidRPr="00566B6A">
              <w:rPr>
                <w:rFonts w:ascii="Courier New" w:hAnsi="Courier New" w:cs="Courier New"/>
                <w:sz w:val="22"/>
              </w:rPr>
              <w:br/>
              <w:t>collection</w:t>
            </w:r>
            <w:r w:rsidRPr="00566B6A">
              <w:rPr>
                <w:rFonts w:ascii="Courier New" w:hAnsi="Courier New" w:cs="Courier New"/>
                <w:sz w:val="22"/>
              </w:rPr>
              <w:br/>
              <w:t>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 R.S. § 9:3562;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third-party communications, the certified cease-contact notice, delivery proof, creditor identity, and agency-jurisdiction records.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w:t>
            </w:r>
            <w:r w:rsidRPr="00566B6A">
              <w:rPr>
                <w:rFonts w:ascii="Courier New" w:hAnsi="Courier New" w:cs="Courier New"/>
                <w:sz w:val="22"/>
              </w:rPr>
              <w:br/>
              <w:t>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 R.S. § 9:3571.1(M)–(Y)</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notice, correction request, and resulting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w:t>
            </w:r>
            <w:r w:rsidRPr="00566B6A">
              <w:rPr>
                <w:rFonts w:ascii="Courier New" w:hAnsi="Courier New" w:cs="Courier New"/>
                <w:sz w:val="22"/>
              </w:rPr>
              <w:br/>
              <w:t>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 R.S. §§ 51:3071–3077</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data elements, dates, no-harm determination, investigation findings, and regulator complaint.</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w:t>
            </w:r>
            <w:r w:rsidRPr="00566B6A">
              <w:rPr>
                <w:rFonts w:ascii="Courier New" w:hAnsi="Courier New" w:cs="Courier New"/>
                <w:sz w:val="22"/>
              </w:rPr>
              <w:br/>
              <w:t>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LUTPA, La. R.S. §§ 51:1401–1430</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distinct trade-or-commerce practice, ascertainable loss, narrow LUTPA misconduct, timing, and Attorney General notice obligations.</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 identity-theft conduct, distinct unauthorized collection communications, security-alert or security-freeze violations, breach-notification duties, and LUTPA trade-or-commerce deception that is factually distinct from CRA or 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Louisiana claims that attempt to impose accuracy, reinvestigation, dispute-processing, or furnishing duties parallel to the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5 — File a Louisiana complaint with the Attorney General’s Consumer Protection Section or the Office of Financial Institutions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Louisiana AG / Office of Financial Institutions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jurisdiction,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LUTPA timing and Attorney General service record</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Ascertainable loss, one-year prescription, petition/judgment notice, and chronology</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Louisiana LUTPA claim-preservation review when a qualifying trade-or-commerce practice and ascertainable loss are documented, including the one-year prescription period and required notice to the Attorney General when an action is filed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Louisiana (LA)</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Louisiana Unfair Trade Practices and Consumer Protection Law (LUTPA) | La. R.S. §§ 51:1401 through 51:1430 | Remedies: actual damages for a qualifying private claim; treble damages under the statutory notice-and-knowledge condition; attorney’s fees and costs when damages are awarded; Attorney General injunctive, restorative, civil-penalty, and other authorized relief. | Authority: Louisiana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Louisiana Unauthorized Collection Practices | La. R.S. § 9:3562 | Remedies: damages may be pursued under Louisiana Civil Code Article 2315 where the statute’s conditions are satisfied; licensing or administrative remedies may apply separately. | Authority: courts / Louisiana Office of Financial Institutions where jurisdiction applies.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lastRenderedPageBreak/>
        <w:t>Louisiana Credit Reporting and Security Freeze Law | La. R.S. § 9:3571.1 | Remedies: actual damages and attorney’s fees and costs for specified negligent or intentional violations; correction, disclosure, security-alert, and security-freeze procedures. | Authority: courts / consumer reporting agencies under state and federal coordination.</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Louisiana Database Security Breach Notification Law | La. R.S. §§ 51:3071 through 51:3077 | Remedies: required security and notice procedures; actual damages for untimely disclosure under § 51:3075; a violation of § 51:3074 constitutes an unfair act or practice under LUTPA. | Authority: Louisiana Attorney General / courts.</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Louisiana Identity Theft Law | La. R.S. § 14:67.16 | Remedies: criminal penalties, restitution, and identity-theft reporting and investigation procedures where statutory requirements are met.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Louisiana Office of Financial Institutions rules — consult the current Louisiana Administrative Code provisions governing consumer-credit licensing, conduct, examinations, records, complaints, and administrative enforcement. Verify the exact title, part, chapter, and section before filing or relying on a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Louisiana Attorney General — Public Protection Division, Consumer Protection Section: consumer complaint intake and LUTPA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Louisiana Office of Financial Institutions: complaint procedures and oversight for consumer-credit businesses within its jurisdiction.</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Louisiana Attorney General and local law enforcement: data-breach reporting, identity-theft complaint, and investigation pathways as applicable.</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Louisiana without municipal or parish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Cheramie Services, Inc. v. Shell Deepwater Production, Inc.</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2010</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2009-1633 (La. 4/23/10), 35 So. 3d 1053</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Recognized that LUTPA’s private right is not limited to consumers or business competitors, while emphasizing the statute’s extremely narrow range. Summary judgment remained proper because the record lacked evidence of an unfair or deceptive method, act, or practice.</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trade or commerce, ascertainable loss, and concrete unfair or deceptive conduct; distinguish the claim from an ordinary contract or business dispute.</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Quality Environmental Processes, Inc. v. I.P. Petroleum Co.</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2013-1582 (La. 5/7/14), 144 So. 3d 1011</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Explained that an unfair practice must offend established public policy and be unethical, oppressive, unscrupulous, or substantially injurious. The challenged conduct did not reach LUTPA’s narrow threshold.</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specific act, context, intent evidence, consumer or business loss, and public-policy basis; avoid merely relabeling a contract or discovery dispute.</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Saragusa v. Countrywide Home Loans, Inc.</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E.D. La.</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2016</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14-2717, 2016 WL 1059004, at *5, aff’d, 707 F. App’x 797 (5th Cir. 2017)</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La. R.S. § 9:3562 as a restriction on creditor communications to third persons about the debtor’s obligation. The claim failed because no qualifying third-party communication was alleged.</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third party’s identity, household status, date, method, and content of each communication; retain consent or exception evidence, certified cease-contact notice, delivery proof, and damages.</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 TK-Authority-2026-07-LA</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 Federal + LA</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lastRenderedPageBreak/>
        <w:t>Update Discipline: Citations must be validated against official sources before inclusion. Louisiana statutory references in this version were checked against the Louisiana Legislature’s current publications. Federal FCRA authorities were checked against the Office of the Law Revision Counsel U.S. Code and current Regulation V materials available on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Louisiana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Louisiana administrative rule citation by agency, title, part,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3384A" w14:textId="77777777" w:rsidR="00A24E62" w:rsidRDefault="00A24E62">
      <w:pPr>
        <w:spacing w:after="0" w:line="240" w:lineRule="auto"/>
      </w:pPr>
      <w:r>
        <w:separator/>
      </w:r>
    </w:p>
  </w:endnote>
  <w:endnote w:type="continuationSeparator" w:id="0">
    <w:p w14:paraId="4EC5FB5B" w14:textId="77777777" w:rsidR="00A24E62" w:rsidRDefault="00A24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7A89B" w14:textId="77777777" w:rsidR="00A24E62" w:rsidRDefault="00A24E62">
      <w:pPr>
        <w:spacing w:after="0" w:line="240" w:lineRule="auto"/>
      </w:pPr>
      <w:r>
        <w:separator/>
      </w:r>
    </w:p>
  </w:footnote>
  <w:footnote w:type="continuationSeparator" w:id="0">
    <w:p w14:paraId="1B576E21" w14:textId="77777777" w:rsidR="00A24E62" w:rsidRDefault="00A24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LOUISIANA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55F05"/>
    <w:rsid w:val="006F27AD"/>
    <w:rsid w:val="00736F61"/>
    <w:rsid w:val="00756B19"/>
    <w:rsid w:val="00952E35"/>
    <w:rsid w:val="00964317"/>
    <w:rsid w:val="00A24E62"/>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4566</Words>
  <Characters>26031</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30536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2026-07-24T08:05:00Z</dcterms:created>
  <dcterms:modified xsi:type="dcterms:W3CDTF">2026-07-24T08:05:00Z</dcterms:modified>
  <cp:category/>
</cp:coreProperties>
</file>