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8675C" w14:textId="77777777" w:rsidR="00756B19" w:rsidRPr="00024A47" w:rsidRDefault="00F247EE">
      <w:pPr>
        <w:jc w:val="center"/>
        <w:rPr>
          <w:rFonts w:ascii="Courier New" w:hAnsi="Courier New" w:cs="Courier New"/>
          <w:sz w:val="26"/>
          <w:szCs w:val="26"/>
        </w:rPr>
      </w:pPr>
      <w:r w:rsidRPr="00024A47">
        <w:rPr>
          <w:rFonts w:ascii="Courier New" w:hAnsi="Courier New" w:cs="Courier New"/>
          <w:b/>
          <w:sz w:val="26"/>
          <w:szCs w:val="26"/>
        </w:rPr>
        <w:t>SECTION 3A — KNOW YOUR RIGHTS AND PROTECTION UNDER YOUR RESIDING STATE</w:t>
      </w:r>
    </w:p>
    <w:p w14:paraId="7D6F8D99" w14:textId="77777777" w:rsidR="00024A47" w:rsidRPr="00024A47" w:rsidRDefault="00024A47">
      <w:pPr>
        <w:spacing w:after="140"/>
        <w:jc w:val="center"/>
        <w:rPr>
          <w:rFonts w:ascii="Courier New" w:hAnsi="Courier New" w:cs="Courier New"/>
          <w:b/>
          <w:sz w:val="22"/>
        </w:rPr>
      </w:pPr>
    </w:p>
    <w:p w14:paraId="6EE21F1E" w14:textId="0AFF410F" w:rsidR="00756B19" w:rsidRDefault="00F247EE" w:rsidP="00566B6A">
      <w:pPr>
        <w:spacing w:after="0"/>
        <w:jc w:val="center"/>
        <w:rPr>
          <w:rFonts w:ascii="Courier New" w:hAnsi="Courier New" w:cs="Courier New"/>
          <w:bCs/>
          <w:sz w:val="22"/>
        </w:rPr>
      </w:pPr>
      <w:r w:rsidRPr="00024A47">
        <w:rPr>
          <w:rFonts w:ascii="Courier New" w:hAnsi="Courier New" w:cs="Courier New"/>
          <w:bCs/>
          <w:sz w:val="22"/>
        </w:rPr>
        <w:t>GLADIC AI GENERATOR INSTRUCTIONS (STATE-AUTO-RENDER + CITED AUTHORITIES)</w:t>
      </w:r>
    </w:p>
    <w:p w14:paraId="72FA0717" w14:textId="77777777" w:rsidR="00566B6A" w:rsidRPr="00024A47" w:rsidRDefault="00566B6A" w:rsidP="00566B6A">
      <w:pPr>
        <w:spacing w:after="0"/>
        <w:jc w:val="center"/>
        <w:rPr>
          <w:rFonts w:ascii="Courier New" w:hAnsi="Courier New" w:cs="Courier New"/>
          <w:bCs/>
          <w:sz w:val="22"/>
        </w:rPr>
      </w:pPr>
    </w:p>
    <w:p w14:paraId="73D0B4E9"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Purpose: Educational, procedural self-help module complementing federal FCRA rights.</w:t>
      </w:r>
    </w:p>
    <w:p w14:paraId="28B947F5" w14:textId="2BAD2651"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 xml:space="preserve">Consumer: </w:t>
      </w:r>
      <w:r w:rsidR="006F27AD">
        <w:rPr>
          <w:rFonts w:ascii="Courier New" w:hAnsi="Courier New" w:cs="Courier New"/>
          <w:bCs/>
          <w:sz w:val="22"/>
        </w:rPr>
        <w:t>________________</w:t>
      </w:r>
    </w:p>
    <w:p w14:paraId="670A387A" w14:textId="77777777" w:rsidR="00756B19" w:rsidRPr="00566B6A" w:rsidRDefault="00F247EE" w:rsidP="00566B6A">
      <w:pPr>
        <w:pStyle w:val="Heading1"/>
        <w:spacing w:before="16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PART A — STATE RIGHTS MAP (STATUTES / ACTS / REGULATIONS / POLICIES / ORDINANCES)</w:t>
      </w:r>
    </w:p>
    <w:p w14:paraId="0E257C30"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Maine (ME)</w:t>
      </w:r>
    </w:p>
    <w:p w14:paraId="4F19E513"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selected from current/most recent address on uploaded bureau report(s) (Experian, Equifax, TransUnion). Case-file STATE used only if report addresses were unavailable.</w:t>
      </w:r>
    </w:p>
    <w:p w14:paraId="2F75E71D"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Secondary STATEs (identity profile): None identified for this Maine-only module.</w:t>
      </w:r>
    </w:p>
    <w:p w14:paraId="59301BE0"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UDAP / Consumer Protection Act(s)</w:t>
      </w:r>
    </w:p>
    <w:p w14:paraId="25AA402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Name: Maine Unfair Trade Practices Act (UTPA)</w:t>
      </w:r>
    </w:p>
    <w:p w14:paraId="0F6B37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 5 M.R.S. §§ 205-A through 214</w:t>
      </w:r>
    </w:p>
    <w:p w14:paraId="1F3A8A6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Scope: Prohibits unfair methods of competition and unfair or deceptive acts or practices in the conduct of trade or commerce. A private consumer claim generally concerns goods, services, or property purchased or leased primarily for personal, family, or household purposes.</w:t>
      </w:r>
    </w:p>
    <w:p w14:paraId="23DD16B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A qualifying consumer may seek actual damages, restitution, and other equitable relief, including an injunction. A prevailing consumer may recover reasonable attorney’s fees and costs. The Attorney General may seek injunctions, restoration, civil penalties, investigation costs, and other relief authorized by the Act.</w:t>
      </w:r>
    </w:p>
    <w:p w14:paraId="73BC6CB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Private right of action: Available under 5 M.R.S. § 213 to a qualifying purchaser or lessee who suffers a loss of money or property resulting from an unlawful practice. A written demand for relief generally must be mailed or delivered at least 30 days before filing an action for damages. Maine’s general six-year period under 14 M.R.S. § 752 ordinarily applies to UTPA claims, unless a more specific limitations period controls.</w:t>
      </w:r>
    </w:p>
    <w:p w14:paraId="1EA4E38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AG enforcement: Maine Attorney General — Consumer Protection Division, under 5 M.R.S. § 209.</w:t>
      </w:r>
    </w:p>
    <w:p w14:paraId="36B9B3E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Debt Collection Law(s)</w:t>
      </w:r>
    </w:p>
    <w:p w14:paraId="0D3729B8"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Applicability: Collection or tradeline derogatory activity present — review the Maine Fair Debt Collection Practices Act, debt-collector licensing requirements, and applicable federal debt-collection law.</w:t>
      </w:r>
    </w:p>
    <w:p w14:paraId="18481CF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 xml:space="preserve">Overview: The Maine Fair Debt Collection Practices Act regulates debt-collector communications, validation, harassment, false or misleading representations, unfair practices, collection </w:t>
      </w:r>
      <w:r w:rsidRPr="00566B6A">
        <w:rPr>
          <w:rFonts w:ascii="Courier New" w:hAnsi="Courier New" w:cs="Courier New"/>
          <w:bCs/>
          <w:sz w:val="22"/>
        </w:rPr>
        <w:lastRenderedPageBreak/>
        <w:t>litigation, licensing, and enforcement. The federal FDCPA remains separately applicable to qualifying debt collectors.</w:t>
      </w:r>
    </w:p>
    <w:p w14:paraId="218AD34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Citations: 32 M.R.S. §§ 11001 through 11054; 15 U.S.C. §§ 1692 through 1692p.</w:t>
      </w:r>
    </w:p>
    <w:p w14:paraId="65D8AF3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Regulators: Maine Department of Professional and Financial Regulation, Bureau of Consumer Credit Protection; Maine Attorney General; CFPB and FTC where federal jurisdiction applies.</w:t>
      </w:r>
    </w:p>
    <w:p w14:paraId="44C7FD4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Credit Reporting / Mini-FCRA Laws</w:t>
      </w:r>
    </w:p>
    <w:p w14:paraId="474C23C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Mini-FCRA status: Maine has a state Fair Credit Reporting Act at 10 M.R.S. §§ 1306 through 1310-H. Section 1309 incorporates compliance with the federal FCRA and Regulation V, while Maine law adds state-specific security-freeze, enforcement, liability, and procedural provisions.</w:t>
      </w:r>
    </w:p>
    <w:p w14:paraId="4F0619E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freeze: Maine consumers may place, temporarily suspend, or remove a security freeze under 10 M.R.S. § 1310. Maine also provides a security-freeze procedure for protected consumers.</w:t>
      </w:r>
    </w:p>
    <w:p w14:paraId="381BC59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Disclosures: Consumers may obtain file disclosures and exercise dispute rights under the federal FCRA as incorporated by 10 M.R.S. § 1309, together with Maine’s additional state-specific protections.</w:t>
      </w:r>
    </w:p>
    <w:p w14:paraId="1C7857E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Corrections: Inaccurate, incomplete, or unverifiable addresses, telephone numbers, employer entries, and other personal identifiers may be disputed directly with the consumer reporting agency under 15 U.S.C. § 1681i and Maine’s incorporated FCRA framework. Maine claims should be evaluated separately for federal preemption.</w:t>
      </w:r>
    </w:p>
    <w:p w14:paraId="4FD0D9D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Fraud alerts: Initial and extended fraud alerts arise principally under federal law. Maine supplements identity protection through security freezes, protected-consumer freezes, misuse-of-identification law, and a statutory police-report procedure.</w:t>
      </w:r>
    </w:p>
    <w:p w14:paraId="1A40D0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Willful and knowing noncompliance may support actual damages, treble damages, costs, and attorney’s fees under 10 M.R.S. § 1310-C. Negligent noncompliance may support actual and additional statutory damages, costs, and attorney’s fees under § 1310-D. An action generally must be brought within two years under § 1310-E.</w:t>
      </w:r>
    </w:p>
    <w:p w14:paraId="4389244A" w14:textId="77777777" w:rsidR="00756B19" w:rsidRPr="00566B6A" w:rsidRDefault="00F247EE" w:rsidP="00566B6A">
      <w:pPr>
        <w:pStyle w:val="Heading2"/>
        <w:rPr>
          <w:rFonts w:ascii="Courier New" w:hAnsi="Courier New" w:cs="Courier New"/>
          <w:b w:val="0"/>
          <w:color w:val="auto"/>
          <w:sz w:val="22"/>
          <w:szCs w:val="22"/>
        </w:rPr>
      </w:pPr>
      <w:r w:rsidRPr="00566B6A">
        <w:rPr>
          <w:rFonts w:ascii="Courier New" w:hAnsi="Courier New" w:cs="Courier New"/>
          <w:b w:val="0"/>
          <w:color w:val="auto"/>
          <w:sz w:val="22"/>
          <w:szCs w:val="22"/>
        </w:rPr>
        <w:t>FEDERAL FCRA — CORRECTION OR REMOVAL OF INACCURATE ADDRESS, EMPLOYMENT, AND CONTACT INFORMATION</w:t>
      </w:r>
    </w:p>
    <w:p w14:paraId="7F420F48"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Information covered by the consumer file: Under 15 U.S.C. § 1681a(g), a consumer “file” includes all information about the consumer recorded and retained by a consumer reporting agency, regardless of storage method. This permits a consumer to dispute personal identifiers retained in the file, including names, current or former addresses, telephone numbers, and past or present employer information.</w:t>
      </w:r>
    </w:p>
    <w:p w14:paraId="24514C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lastRenderedPageBreak/>
        <w:t>Maximum possible accuracy: Whenever a consumer reporting agency prepares a consumer report, 15 U.S.C. § 1681e(b) requires reasonable procedures designed to assure maximum possible accuracy of the information concerning the consumer. Incorrect identifying information can support a mixed-file, identity-integrity, or report-accuracy review.</w:t>
      </w:r>
    </w:p>
    <w:p w14:paraId="5DF629C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File disclosure and source identification: Under 15 U.S.C. § 1681g(a)(1)–(2), the consumer may request a clear and accurate disclosure of all information in the file and the sources of that information, subject to statutory exceptions. The disclosure should be used to identify each disputed address, telephone number, employer, alias, or other personal-data entry precisely.</w:t>
      </w:r>
    </w:p>
    <w:p w14:paraId="47ADE7AD"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CRA dispute and reasonable reinvestigation: Under 15 U.S.C. § 1681i(a)(1)(A), when the consumer disputes the completeness or accuracy of any item of information in the file and notifies the consumer reporting agency, the agency must conduct a reasonable reinvestigation free of charge, determine whether the item is inaccurate, record its current status, or delete it in accordance with § 1681i(a)(5). Section 1681i(a)(4) requires the agency to review and consider all relevant information submitted by the consumer.</w:t>
      </w:r>
    </w:p>
    <w:p w14:paraId="759DA1A6"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Mandatory deletion or modification: Under 15 U.S.C. § 1681i(a)(5)(A), if the disputed address, employer, telephone number, or other item is found to be inaccurate or incomplete, or cannot be verified, the consumer reporting agency must promptly delete the item or modify it as appropriate and promptly notify the furnisher of the modification or deletion.</w:t>
      </w:r>
    </w:p>
    <w:p w14:paraId="3B4F5A4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Results, reinsertion safeguards, and prior recipients: Under 15 U.S.C. § 1681i(a)(5)(B), deleted information generally may not be reinserted unless the furnisher certifies that it is complete and accurate, and the consumer must receive timely notice of reinsertion. Section 1681i(a)(6) requires written reinvestigation results and a revised consumer report. Under § 1681i(d), the consumer may request notice of a deletion or dispute notation to designated prior recipients, including recipients of employment reports within the preceding two years and other recipients within the preceding six months.</w:t>
      </w:r>
    </w:p>
    <w:p w14:paraId="6E477B7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Furnisher duties after CRA notice: When an identifiable person furnished the disputed information and receives notice from the consumer reporting agency under 15 U.S.C. § 1681i(a)(2), 15 U.S.C. § 1681s-2(b)(1) generally requires investigation, review of relevant information, reporting of results, and—if the item is inaccurate, incomplete, or unverifiable—prompt modification, deletion, or permanent blocking of the item for reporting purposes.</w:t>
      </w:r>
    </w:p>
    <w:p w14:paraId="475828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Correct route for address, telephone, and employer disputes: Regulation V, 12 C.F.R. § 1022.43(b)(1)(i)–(ii), excludes identifying information such as telephone numbers and addresses, and the identity of past or present employers, from the regulation’s mandatory direct-dispute investigation procedure for furnishers. The primary dispute should therefore be </w:t>
      </w:r>
      <w:r w:rsidRPr="00566B6A">
        <w:rPr>
          <w:rFonts w:ascii="Courier New" w:hAnsi="Courier New" w:cs="Courier New"/>
          <w:bCs/>
          <w:sz w:val="22"/>
        </w:rPr>
        <w:lastRenderedPageBreak/>
        <w:t>submitted directly to each consumer reporting agency displaying the inaccurate information. A furnisher may still have duties after receiving the dispute through the agency under 15 U.S.C. § 1681s-2(b), where applicable.</w:t>
      </w:r>
    </w:p>
    <w:p w14:paraId="1C1C2693"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Identity-theft blocking: If an address, employer, telephone number, or related entry resulted from identity theft, 15 U.S.C. § 1681c-2(a) generally requires the consumer reporting agency to block reporting of the identified information within four business days after receiving appropriate proof of identity, an identity-theft report, identification of the information, and the consumer’s statement that the information does not relate to a transaction by the consumer.</w:t>
      </w:r>
    </w:p>
    <w:p w14:paraId="7F0086B4"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Practical limitation—no automatic purge of accurate history: The FCRA does not automatically require deletion merely because a former address or employer is old or no longer current. Request modification when an accurate historical item is incorrectly labeled as current. Request deletion when the item is not the consumer’s, is materially inaccurate or incomplete, cannot be verified, reflects a mixed file, or resulted from identity theft. Preserve the report page, proof of current identity and residence, employment records, dispute confirmation, and reinvestigation results.</w:t>
      </w:r>
    </w:p>
    <w:p w14:paraId="523C9529"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Security Freeze / Fraud Alert / Identity Restoration</w:t>
      </w:r>
    </w:p>
    <w:p w14:paraId="793323C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theft: 17-A M.R.S. § 905-A criminalizes the intentional or knowing unauthorized use of specified credit, account, billing, or legal-identification information to obtain confidential information, property, or services.</w:t>
      </w:r>
    </w:p>
    <w:p w14:paraId="39F079F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Police-report procedure: A person who knows or reasonably believes that personal information has been misused in violation of 17-A M.R.S. § 905-A may obtain a police report under 10 M.R.S. § 1350-B. The local agency may investigate or refer the matter to the appropriate jurisdiction.</w:t>
      </w:r>
    </w:p>
    <w:p w14:paraId="5984999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Restoration may involve fraud alerts, security freezes, creditor notifications, police or FTC identity-theft reports, and documented dispute trails.</w:t>
      </w:r>
    </w:p>
    <w:p w14:paraId="4F04A53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Reporting: Maintain police reports, FTC IdentityTheft.gov reports, court orders, freeze confirmations, creditor notices, and agency confirmation numbers.</w:t>
      </w:r>
    </w:p>
    <w:p w14:paraId="0043491D"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Privacy + Data Security + Breach Notification</w:t>
      </w:r>
    </w:p>
    <w:p w14:paraId="3058830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Breach notice: Under 10 M.R.S. § 1348, a covered person must conduct a good-faith, reasonable, and prompt investigation and provide required notice to affected Maine residents. Absent an authorized law-enforcement delay, notice generally must be made as expediently as possible, without unreasonable delay, and no more than 30 days after the breach is known and its scope is identified.</w:t>
      </w:r>
    </w:p>
    <w:p w14:paraId="4EA669F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Article range: Maine’s Notice of Risk to Personal Data provisions are codified at 10 M.R.S. §§ 1347 through 1350-B.</w:t>
      </w:r>
    </w:p>
    <w:p w14:paraId="613B540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Privacy rights: No general omnibus Maine consumer-data privacy act is identified for this module; sector-specific Maine and federal privacy rules may apply depending on the holder and type of information.</w:t>
      </w:r>
    </w:p>
    <w:p w14:paraId="3C14B9E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duties: Covered entities should preserve the breach investigation, scope determination, notice content, delivery dates, regulator notifications, law-enforcement delay records, and remediation documentation.</w:t>
      </w:r>
    </w:p>
    <w:p w14:paraId="022D002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AG / Regulator Authority + Policies</w:t>
      </w:r>
    </w:p>
    <w:p w14:paraId="136BB03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Maine Attorney General: Consumer Protection Division — consumer complaint intake and UTPA enforcement under 5 M.R.S. § 209.</w:t>
      </w:r>
    </w:p>
    <w:p w14:paraId="2553CB8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Maine Bureau of Consumer Credit Protection: Licensing, complaint review, examination, and administrative enforcement for debt collectors, consumer reporting matters, and other regulated consumer-credit activities within its jurisdiction.</w:t>
      </w:r>
    </w:p>
    <w:p w14:paraId="1AB2F41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Maine law enforcement: Local law-enforcement agencies provide identity-theft police reports under 10 M.R.S. § 1350-B and may investigate or refer the matter to another jurisdiction.</w:t>
      </w:r>
    </w:p>
    <w:p w14:paraId="5E4A391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Federal escalation: CFPB and FTC complaint pathways may complement state intake when federal consumer-finance, credit-reporting, or debt-collection law applies.</w:t>
      </w:r>
    </w:p>
    <w:p w14:paraId="607C3BE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Local Ordinances</w:t>
      </w:r>
    </w:p>
    <w:p w14:paraId="1913215B"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Local ordinances are not typically the controlling authority for credit-reporting disputes; none are identified as directly applicable in Maine without municipal verification.</w:t>
      </w:r>
    </w:p>
    <w:p w14:paraId="0E67A78E" w14:textId="77777777" w:rsidR="00566B6A" w:rsidRPr="00566B6A" w:rsidRDefault="00566B6A" w:rsidP="00566B6A">
      <w:pPr>
        <w:spacing w:after="0"/>
        <w:rPr>
          <w:rFonts w:ascii="Courier New" w:hAnsi="Courier New" w:cs="Courier New"/>
          <w:bCs/>
          <w:sz w:val="22"/>
        </w:rPr>
      </w:pPr>
    </w:p>
    <w:p w14:paraId="0DF34D05"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State Authority Table</w:t>
      </w:r>
    </w:p>
    <w:tbl>
      <w:tblPr>
        <w:tblStyle w:val="TableGrid"/>
        <w:tblW w:w="0" w:type="auto"/>
        <w:jc w:val="center"/>
        <w:tblLayout w:type="fixed"/>
        <w:tblLook w:val="04A0" w:firstRow="1" w:lastRow="0" w:firstColumn="1" w:lastColumn="0" w:noHBand="0" w:noVBand="1"/>
      </w:tblPr>
      <w:tblGrid>
        <w:gridCol w:w="1440"/>
        <w:gridCol w:w="2448"/>
        <w:gridCol w:w="3168"/>
        <w:gridCol w:w="3456"/>
        <w:gridCol w:w="3888"/>
      </w:tblGrid>
      <w:tr w:rsidR="00756B19" w:rsidRPr="00566B6A" w14:paraId="68DB9D13" w14:textId="77777777">
        <w:trPr>
          <w:cantSplit/>
          <w:tblHeader/>
          <w:jc w:val="center"/>
        </w:trPr>
        <w:tc>
          <w:tcPr>
            <w:tcW w:w="1440" w:type="dxa"/>
            <w:shd w:val="clear" w:color="auto" w:fill="D9EAF7"/>
            <w:tcMar>
              <w:top w:w="55" w:type="dxa"/>
              <w:left w:w="55" w:type="dxa"/>
              <w:bottom w:w="55" w:type="dxa"/>
              <w:right w:w="55" w:type="dxa"/>
            </w:tcMar>
            <w:vAlign w:val="center"/>
          </w:tcPr>
          <w:p w14:paraId="49DE6BB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Type</w:t>
            </w:r>
          </w:p>
        </w:tc>
        <w:tc>
          <w:tcPr>
            <w:tcW w:w="2448" w:type="dxa"/>
            <w:shd w:val="clear" w:color="auto" w:fill="D9EAF7"/>
            <w:tcMar>
              <w:top w:w="55" w:type="dxa"/>
              <w:left w:w="55" w:type="dxa"/>
              <w:bottom w:w="55" w:type="dxa"/>
              <w:right w:w="55" w:type="dxa"/>
            </w:tcMar>
            <w:vAlign w:val="center"/>
          </w:tcPr>
          <w:p w14:paraId="74D64BF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3168" w:type="dxa"/>
            <w:shd w:val="clear" w:color="auto" w:fill="D9EAF7"/>
            <w:tcMar>
              <w:top w:w="55" w:type="dxa"/>
              <w:left w:w="55" w:type="dxa"/>
              <w:bottom w:w="55" w:type="dxa"/>
              <w:right w:w="55" w:type="dxa"/>
            </w:tcMar>
            <w:vAlign w:val="center"/>
          </w:tcPr>
          <w:p w14:paraId="5C2CA3A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What it Covers</w:t>
            </w:r>
          </w:p>
        </w:tc>
        <w:tc>
          <w:tcPr>
            <w:tcW w:w="3456" w:type="dxa"/>
            <w:shd w:val="clear" w:color="auto" w:fill="D9EAF7"/>
            <w:tcMar>
              <w:top w:w="55" w:type="dxa"/>
              <w:left w:w="55" w:type="dxa"/>
              <w:bottom w:w="55" w:type="dxa"/>
              <w:right w:w="55" w:type="dxa"/>
            </w:tcMar>
            <w:vAlign w:val="center"/>
          </w:tcPr>
          <w:p w14:paraId="378E6F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Remedies / Relief</w:t>
            </w:r>
          </w:p>
        </w:tc>
        <w:tc>
          <w:tcPr>
            <w:tcW w:w="3888" w:type="dxa"/>
            <w:shd w:val="clear" w:color="auto" w:fill="D9EAF7"/>
            <w:tcMar>
              <w:top w:w="55" w:type="dxa"/>
              <w:left w:w="55" w:type="dxa"/>
              <w:bottom w:w="55" w:type="dxa"/>
              <w:right w:w="55" w:type="dxa"/>
            </w:tcMar>
            <w:vAlign w:val="center"/>
          </w:tcPr>
          <w:p w14:paraId="6E5909D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How it Supports Record-Building</w:t>
            </w:r>
          </w:p>
        </w:tc>
      </w:tr>
      <w:tr w:rsidR="00756B19" w:rsidRPr="00566B6A" w14:paraId="6FE1F95B" w14:textId="77777777">
        <w:trPr>
          <w:cantSplit/>
          <w:jc w:val="center"/>
        </w:trPr>
        <w:tc>
          <w:tcPr>
            <w:tcW w:w="1440" w:type="dxa"/>
            <w:tcMar>
              <w:top w:w="50" w:type="dxa"/>
              <w:left w:w="55" w:type="dxa"/>
              <w:bottom w:w="50" w:type="dxa"/>
              <w:right w:w="55" w:type="dxa"/>
            </w:tcMar>
          </w:tcPr>
          <w:p w14:paraId="4C25DA9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w:t>
            </w:r>
            <w:r w:rsidRPr="00566B6A">
              <w:rPr>
                <w:rFonts w:ascii="Courier New" w:hAnsi="Courier New" w:cs="Courier New"/>
                <w:sz w:val="22"/>
              </w:rPr>
              <w:br/>
              <w:t>Act</w:t>
            </w:r>
          </w:p>
        </w:tc>
        <w:tc>
          <w:tcPr>
            <w:tcW w:w="2448" w:type="dxa"/>
            <w:tcMar>
              <w:top w:w="50" w:type="dxa"/>
              <w:left w:w="55" w:type="dxa"/>
              <w:bottom w:w="50" w:type="dxa"/>
              <w:right w:w="55" w:type="dxa"/>
            </w:tcMar>
          </w:tcPr>
          <w:p w14:paraId="634084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5 M.R.S. §§ 205-A–214</w:t>
            </w:r>
          </w:p>
        </w:tc>
        <w:tc>
          <w:tcPr>
            <w:tcW w:w="3168" w:type="dxa"/>
            <w:tcMar>
              <w:top w:w="50" w:type="dxa"/>
              <w:left w:w="55" w:type="dxa"/>
              <w:bottom w:w="50" w:type="dxa"/>
              <w:right w:w="55" w:type="dxa"/>
            </w:tcMar>
          </w:tcPr>
          <w:p w14:paraId="3D24A60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Maine UTPA — unfair or deceptive consumer practices</w:t>
            </w:r>
          </w:p>
        </w:tc>
        <w:tc>
          <w:tcPr>
            <w:tcW w:w="3456" w:type="dxa"/>
            <w:tcMar>
              <w:top w:w="50" w:type="dxa"/>
              <w:left w:w="55" w:type="dxa"/>
              <w:bottom w:w="50" w:type="dxa"/>
              <w:right w:w="55" w:type="dxa"/>
            </w:tcMar>
          </w:tcPr>
          <w:p w14:paraId="420169D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Actual damages, restitution, equitable relief, fees and costs; AG enforcement</w:t>
            </w:r>
          </w:p>
        </w:tc>
        <w:tc>
          <w:tcPr>
            <w:tcW w:w="3888" w:type="dxa"/>
            <w:tcMar>
              <w:top w:w="50" w:type="dxa"/>
              <w:left w:w="55" w:type="dxa"/>
              <w:bottom w:w="50" w:type="dxa"/>
              <w:right w:w="55" w:type="dxa"/>
            </w:tcMar>
          </w:tcPr>
          <w:p w14:paraId="4B46A2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Transaction proof; loss; 30-day demand; delivery proof; six-year timing record</w:t>
            </w:r>
          </w:p>
        </w:tc>
      </w:tr>
      <w:tr w:rsidR="00756B19" w:rsidRPr="00566B6A" w14:paraId="2B74E5E6" w14:textId="77777777">
        <w:trPr>
          <w:cantSplit/>
          <w:jc w:val="center"/>
        </w:trPr>
        <w:tc>
          <w:tcPr>
            <w:tcW w:w="1440" w:type="dxa"/>
            <w:shd w:val="clear" w:color="auto" w:fill="F7FAFC"/>
            <w:tcMar>
              <w:top w:w="50" w:type="dxa"/>
              <w:left w:w="55" w:type="dxa"/>
              <w:bottom w:w="50" w:type="dxa"/>
              <w:right w:w="55" w:type="dxa"/>
            </w:tcMar>
          </w:tcPr>
          <w:p w14:paraId="4B27FD7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w:t>
            </w:r>
            <w:r w:rsidRPr="00566B6A">
              <w:rPr>
                <w:rFonts w:ascii="Courier New" w:hAnsi="Courier New" w:cs="Courier New"/>
                <w:sz w:val="22"/>
              </w:rPr>
              <w:br/>
              <w:t>Act</w:t>
            </w:r>
          </w:p>
        </w:tc>
        <w:tc>
          <w:tcPr>
            <w:tcW w:w="2448" w:type="dxa"/>
            <w:shd w:val="clear" w:color="auto" w:fill="F7FAFC"/>
            <w:tcMar>
              <w:top w:w="50" w:type="dxa"/>
              <w:left w:w="55" w:type="dxa"/>
              <w:bottom w:w="50" w:type="dxa"/>
              <w:right w:w="55" w:type="dxa"/>
            </w:tcMar>
          </w:tcPr>
          <w:p w14:paraId="583282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32 M.R.S. §§ 11001–11054</w:t>
            </w:r>
          </w:p>
        </w:tc>
        <w:tc>
          <w:tcPr>
            <w:tcW w:w="3168" w:type="dxa"/>
            <w:shd w:val="clear" w:color="auto" w:fill="F7FAFC"/>
            <w:tcMar>
              <w:top w:w="50" w:type="dxa"/>
              <w:left w:w="55" w:type="dxa"/>
              <w:bottom w:w="50" w:type="dxa"/>
              <w:right w:w="55" w:type="dxa"/>
            </w:tcMar>
          </w:tcPr>
          <w:p w14:paraId="24C0DB7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Debt-collector conduct, validation, licensing, and collection actions</w:t>
            </w:r>
          </w:p>
        </w:tc>
        <w:tc>
          <w:tcPr>
            <w:tcW w:w="3456" w:type="dxa"/>
            <w:shd w:val="clear" w:color="auto" w:fill="F7FAFC"/>
            <w:tcMar>
              <w:top w:w="50" w:type="dxa"/>
              <w:left w:w="55" w:type="dxa"/>
              <w:bottom w:w="50" w:type="dxa"/>
              <w:right w:w="55" w:type="dxa"/>
            </w:tcMar>
          </w:tcPr>
          <w:p w14:paraId="15B14E3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Actual and limited statutory damages; fees and costs; administrative remedies</w:t>
            </w:r>
          </w:p>
        </w:tc>
        <w:tc>
          <w:tcPr>
            <w:tcW w:w="3888" w:type="dxa"/>
            <w:shd w:val="clear" w:color="auto" w:fill="F7FAFC"/>
            <w:tcMar>
              <w:top w:w="50" w:type="dxa"/>
              <w:left w:w="55" w:type="dxa"/>
              <w:bottom w:w="50" w:type="dxa"/>
              <w:right w:w="55" w:type="dxa"/>
            </w:tcMar>
          </w:tcPr>
          <w:p w14:paraId="4E12348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Collector identity; license; letters; call logs; validation; one-year claim deadline</w:t>
            </w:r>
          </w:p>
        </w:tc>
      </w:tr>
      <w:tr w:rsidR="00756B19" w:rsidRPr="00566B6A" w14:paraId="2E7F3F76" w14:textId="77777777">
        <w:trPr>
          <w:cantSplit/>
          <w:jc w:val="center"/>
        </w:trPr>
        <w:tc>
          <w:tcPr>
            <w:tcW w:w="1440" w:type="dxa"/>
            <w:tcMar>
              <w:top w:w="50" w:type="dxa"/>
              <w:left w:w="55" w:type="dxa"/>
              <w:bottom w:w="50" w:type="dxa"/>
              <w:right w:w="55" w:type="dxa"/>
            </w:tcMar>
          </w:tcPr>
          <w:p w14:paraId="3EA462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Statute/</w:t>
            </w:r>
            <w:r w:rsidRPr="00566B6A">
              <w:rPr>
                <w:rFonts w:ascii="Courier New" w:hAnsi="Courier New" w:cs="Courier New"/>
                <w:sz w:val="22"/>
              </w:rPr>
              <w:br/>
              <w:t>Act</w:t>
            </w:r>
          </w:p>
        </w:tc>
        <w:tc>
          <w:tcPr>
            <w:tcW w:w="2448" w:type="dxa"/>
            <w:tcMar>
              <w:top w:w="50" w:type="dxa"/>
              <w:left w:w="55" w:type="dxa"/>
              <w:bottom w:w="50" w:type="dxa"/>
              <w:right w:w="55" w:type="dxa"/>
            </w:tcMar>
          </w:tcPr>
          <w:p w14:paraId="435FC59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10 M.R.S. §§ 1306–1310-H</w:t>
            </w:r>
          </w:p>
        </w:tc>
        <w:tc>
          <w:tcPr>
            <w:tcW w:w="3168" w:type="dxa"/>
            <w:tcMar>
              <w:top w:w="50" w:type="dxa"/>
              <w:left w:w="55" w:type="dxa"/>
              <w:bottom w:w="50" w:type="dxa"/>
              <w:right w:w="55" w:type="dxa"/>
            </w:tcMar>
          </w:tcPr>
          <w:p w14:paraId="4C2BDFD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Maine FCRA, incorporated federal duties, freezes, and state remedies</w:t>
            </w:r>
          </w:p>
        </w:tc>
        <w:tc>
          <w:tcPr>
            <w:tcW w:w="3456" w:type="dxa"/>
            <w:tcMar>
              <w:top w:w="50" w:type="dxa"/>
              <w:left w:w="55" w:type="dxa"/>
              <w:bottom w:w="50" w:type="dxa"/>
              <w:right w:w="55" w:type="dxa"/>
            </w:tcMar>
          </w:tcPr>
          <w:p w14:paraId="4A37E8F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Actual, additional, or treble damages; fees and costs; administrative relief</w:t>
            </w:r>
          </w:p>
        </w:tc>
        <w:tc>
          <w:tcPr>
            <w:tcW w:w="3888" w:type="dxa"/>
            <w:tcMar>
              <w:top w:w="50" w:type="dxa"/>
              <w:left w:w="55" w:type="dxa"/>
              <w:bottom w:w="50" w:type="dxa"/>
              <w:right w:w="55" w:type="dxa"/>
            </w:tcMar>
          </w:tcPr>
          <w:p w14:paraId="5DF22B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Report; dispute; reinvestigation; freeze record; adverse-action proof; two-year deadline</w:t>
            </w:r>
          </w:p>
        </w:tc>
      </w:tr>
      <w:tr w:rsidR="00756B19" w:rsidRPr="00566B6A" w14:paraId="7D717879" w14:textId="77777777">
        <w:trPr>
          <w:cantSplit/>
          <w:jc w:val="center"/>
        </w:trPr>
        <w:tc>
          <w:tcPr>
            <w:tcW w:w="1440" w:type="dxa"/>
            <w:shd w:val="clear" w:color="auto" w:fill="F7FAFC"/>
            <w:tcMar>
              <w:top w:w="50" w:type="dxa"/>
              <w:left w:w="55" w:type="dxa"/>
              <w:bottom w:w="50" w:type="dxa"/>
              <w:right w:w="55" w:type="dxa"/>
            </w:tcMar>
          </w:tcPr>
          <w:p w14:paraId="62B2522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w:t>
            </w:r>
            <w:r w:rsidRPr="00566B6A">
              <w:rPr>
                <w:rFonts w:ascii="Courier New" w:hAnsi="Courier New" w:cs="Courier New"/>
                <w:sz w:val="22"/>
              </w:rPr>
              <w:br/>
              <w:t>Act</w:t>
            </w:r>
          </w:p>
        </w:tc>
        <w:tc>
          <w:tcPr>
            <w:tcW w:w="2448" w:type="dxa"/>
            <w:shd w:val="clear" w:color="auto" w:fill="F7FAFC"/>
            <w:tcMar>
              <w:top w:w="50" w:type="dxa"/>
              <w:left w:w="55" w:type="dxa"/>
              <w:bottom w:w="50" w:type="dxa"/>
              <w:right w:w="55" w:type="dxa"/>
            </w:tcMar>
          </w:tcPr>
          <w:p w14:paraId="6E069C8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10 M.R.S. §§ 1347–1350-B</w:t>
            </w:r>
          </w:p>
        </w:tc>
        <w:tc>
          <w:tcPr>
            <w:tcW w:w="3168" w:type="dxa"/>
            <w:shd w:val="clear" w:color="auto" w:fill="F7FAFC"/>
            <w:tcMar>
              <w:top w:w="50" w:type="dxa"/>
              <w:left w:w="55" w:type="dxa"/>
              <w:bottom w:w="50" w:type="dxa"/>
              <w:right w:w="55" w:type="dxa"/>
            </w:tcMar>
          </w:tcPr>
          <w:p w14:paraId="0EAFB24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Breach investigation, notice, enforcement, and identity-theft reporting</w:t>
            </w:r>
          </w:p>
        </w:tc>
        <w:tc>
          <w:tcPr>
            <w:tcW w:w="3456" w:type="dxa"/>
            <w:shd w:val="clear" w:color="auto" w:fill="F7FAFC"/>
            <w:tcMar>
              <w:top w:w="50" w:type="dxa"/>
              <w:left w:w="55" w:type="dxa"/>
              <w:bottom w:w="50" w:type="dxa"/>
              <w:right w:w="55" w:type="dxa"/>
            </w:tcMar>
          </w:tcPr>
          <w:p w14:paraId="0556E8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Civil penalties, equitable relief, injunctions, and cumulative remedies</w:t>
            </w:r>
          </w:p>
        </w:tc>
        <w:tc>
          <w:tcPr>
            <w:tcW w:w="3888" w:type="dxa"/>
            <w:shd w:val="clear" w:color="auto" w:fill="F7FAFC"/>
            <w:tcMar>
              <w:top w:w="50" w:type="dxa"/>
              <w:left w:w="55" w:type="dxa"/>
              <w:bottom w:w="50" w:type="dxa"/>
              <w:right w:w="55" w:type="dxa"/>
            </w:tcMar>
          </w:tcPr>
          <w:p w14:paraId="72352F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Breach notice; dates; scope; regulator notice; remediation and police report</w:t>
            </w:r>
          </w:p>
        </w:tc>
      </w:tr>
      <w:tr w:rsidR="00756B19" w:rsidRPr="00566B6A" w14:paraId="78460C98" w14:textId="77777777">
        <w:trPr>
          <w:cantSplit/>
          <w:jc w:val="center"/>
        </w:trPr>
        <w:tc>
          <w:tcPr>
            <w:tcW w:w="1440" w:type="dxa"/>
            <w:tcMar>
              <w:top w:w="50" w:type="dxa"/>
              <w:left w:w="55" w:type="dxa"/>
              <w:bottom w:w="50" w:type="dxa"/>
              <w:right w:w="55" w:type="dxa"/>
            </w:tcMar>
          </w:tcPr>
          <w:p w14:paraId="0527A85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w:t>
            </w:r>
            <w:r w:rsidRPr="00566B6A">
              <w:rPr>
                <w:rFonts w:ascii="Courier New" w:hAnsi="Courier New" w:cs="Courier New"/>
                <w:sz w:val="22"/>
              </w:rPr>
              <w:br/>
              <w:t>Act</w:t>
            </w:r>
          </w:p>
        </w:tc>
        <w:tc>
          <w:tcPr>
            <w:tcW w:w="2448" w:type="dxa"/>
            <w:tcMar>
              <w:top w:w="50" w:type="dxa"/>
              <w:left w:w="55" w:type="dxa"/>
              <w:bottom w:w="50" w:type="dxa"/>
              <w:right w:w="55" w:type="dxa"/>
            </w:tcMar>
          </w:tcPr>
          <w:p w14:paraId="5D71676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17-A M.R.S. § 905-A</w:t>
            </w:r>
          </w:p>
        </w:tc>
        <w:tc>
          <w:tcPr>
            <w:tcW w:w="3168" w:type="dxa"/>
            <w:tcMar>
              <w:top w:w="50" w:type="dxa"/>
              <w:left w:w="55" w:type="dxa"/>
              <w:bottom w:w="50" w:type="dxa"/>
              <w:right w:w="55" w:type="dxa"/>
            </w:tcMar>
          </w:tcPr>
          <w:p w14:paraId="629969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Misuse of credit, account, billing, or legal identification</w:t>
            </w:r>
          </w:p>
        </w:tc>
        <w:tc>
          <w:tcPr>
            <w:tcW w:w="3456" w:type="dxa"/>
            <w:tcMar>
              <w:top w:w="50" w:type="dxa"/>
              <w:left w:w="55" w:type="dxa"/>
              <w:bottom w:w="50" w:type="dxa"/>
              <w:right w:w="55" w:type="dxa"/>
            </w:tcMar>
          </w:tcPr>
          <w:p w14:paraId="3282C00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Criminal enforcement; identity-restoration record</w:t>
            </w:r>
          </w:p>
        </w:tc>
        <w:tc>
          <w:tcPr>
            <w:tcW w:w="3888" w:type="dxa"/>
            <w:tcMar>
              <w:top w:w="50" w:type="dxa"/>
              <w:left w:w="55" w:type="dxa"/>
              <w:bottom w:w="50" w:type="dxa"/>
              <w:right w:w="55" w:type="dxa"/>
            </w:tcMar>
          </w:tcPr>
          <w:p w14:paraId="5D0DDF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Police/FTC report; disputed identifiers; creditor and bureau notices</w:t>
            </w:r>
          </w:p>
        </w:tc>
      </w:tr>
      <w:tr w:rsidR="00756B19" w:rsidRPr="00566B6A" w14:paraId="4D1F75C6" w14:textId="77777777">
        <w:trPr>
          <w:cantSplit/>
          <w:jc w:val="center"/>
        </w:trPr>
        <w:tc>
          <w:tcPr>
            <w:tcW w:w="1440" w:type="dxa"/>
            <w:shd w:val="clear" w:color="auto" w:fill="F7FAFC"/>
            <w:tcMar>
              <w:top w:w="50" w:type="dxa"/>
              <w:left w:w="55" w:type="dxa"/>
              <w:bottom w:w="50" w:type="dxa"/>
              <w:right w:w="55" w:type="dxa"/>
            </w:tcMar>
          </w:tcPr>
          <w:p w14:paraId="325E246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Policy</w:t>
            </w:r>
          </w:p>
        </w:tc>
        <w:tc>
          <w:tcPr>
            <w:tcW w:w="2448" w:type="dxa"/>
            <w:shd w:val="clear" w:color="auto" w:fill="F7FAFC"/>
            <w:tcMar>
              <w:top w:w="50" w:type="dxa"/>
              <w:left w:w="55" w:type="dxa"/>
              <w:bottom w:w="50" w:type="dxa"/>
              <w:right w:w="55" w:type="dxa"/>
            </w:tcMar>
          </w:tcPr>
          <w:p w14:paraId="60A716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Maine AG — Consumer Protection Division</w:t>
            </w:r>
          </w:p>
        </w:tc>
        <w:tc>
          <w:tcPr>
            <w:tcW w:w="3168" w:type="dxa"/>
            <w:shd w:val="clear" w:color="auto" w:fill="F7FAFC"/>
            <w:tcMar>
              <w:top w:w="50" w:type="dxa"/>
              <w:left w:w="55" w:type="dxa"/>
              <w:bottom w:w="50" w:type="dxa"/>
              <w:right w:w="55" w:type="dxa"/>
            </w:tcMar>
          </w:tcPr>
          <w:p w14:paraId="050C794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complaint intake and UTPA enforcement</w:t>
            </w:r>
          </w:p>
        </w:tc>
        <w:tc>
          <w:tcPr>
            <w:tcW w:w="3456" w:type="dxa"/>
            <w:shd w:val="clear" w:color="auto" w:fill="F7FAFC"/>
            <w:tcMar>
              <w:top w:w="50" w:type="dxa"/>
              <w:left w:w="55" w:type="dxa"/>
              <w:bottom w:w="50" w:type="dxa"/>
              <w:right w:w="55" w:type="dxa"/>
            </w:tcMar>
          </w:tcPr>
          <w:p w14:paraId="4A945F5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Review, investigation, settlement, injunction, or civil enforcement as authorized</w:t>
            </w:r>
          </w:p>
        </w:tc>
        <w:tc>
          <w:tcPr>
            <w:tcW w:w="3888" w:type="dxa"/>
            <w:shd w:val="clear" w:color="auto" w:fill="F7FAFC"/>
            <w:tcMar>
              <w:top w:w="50" w:type="dxa"/>
              <w:left w:w="55" w:type="dxa"/>
              <w:bottom w:w="50" w:type="dxa"/>
              <w:right w:w="55" w:type="dxa"/>
            </w:tcMar>
          </w:tcPr>
          <w:p w14:paraId="391A9DA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ID; attachments; agency response; chronology</w:t>
            </w:r>
          </w:p>
        </w:tc>
      </w:tr>
      <w:tr w:rsidR="00756B19" w:rsidRPr="00566B6A" w14:paraId="41D89716" w14:textId="77777777">
        <w:trPr>
          <w:cantSplit/>
          <w:jc w:val="center"/>
        </w:trPr>
        <w:tc>
          <w:tcPr>
            <w:tcW w:w="1440" w:type="dxa"/>
            <w:tcMar>
              <w:top w:w="50" w:type="dxa"/>
              <w:left w:w="55" w:type="dxa"/>
              <w:bottom w:w="50" w:type="dxa"/>
              <w:right w:w="55" w:type="dxa"/>
            </w:tcMar>
          </w:tcPr>
          <w:p w14:paraId="4AF5FFC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Regulator</w:t>
            </w:r>
          </w:p>
        </w:tc>
        <w:tc>
          <w:tcPr>
            <w:tcW w:w="2448" w:type="dxa"/>
            <w:tcMar>
              <w:top w:w="50" w:type="dxa"/>
              <w:left w:w="55" w:type="dxa"/>
              <w:bottom w:w="50" w:type="dxa"/>
              <w:right w:w="55" w:type="dxa"/>
            </w:tcMar>
          </w:tcPr>
          <w:p w14:paraId="5A6331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Bureau of Consumer Credit Protection</w:t>
            </w:r>
          </w:p>
        </w:tc>
        <w:tc>
          <w:tcPr>
            <w:tcW w:w="3168" w:type="dxa"/>
            <w:tcMar>
              <w:top w:w="50" w:type="dxa"/>
              <w:left w:w="55" w:type="dxa"/>
              <w:bottom w:w="50" w:type="dxa"/>
              <w:right w:w="55" w:type="dxa"/>
            </w:tcMar>
          </w:tcPr>
          <w:p w14:paraId="2A65D6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Debt collectors, consumer reporting, and regulated consumer-credit activity</w:t>
            </w:r>
          </w:p>
        </w:tc>
        <w:tc>
          <w:tcPr>
            <w:tcW w:w="3456" w:type="dxa"/>
            <w:tcMar>
              <w:top w:w="50" w:type="dxa"/>
              <w:left w:w="55" w:type="dxa"/>
              <w:bottom w:w="50" w:type="dxa"/>
              <w:right w:w="55" w:type="dxa"/>
            </w:tcMar>
          </w:tcPr>
          <w:p w14:paraId="1FEB22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Licensing, examination, administrative orders, penalties, and complaint review</w:t>
            </w:r>
          </w:p>
        </w:tc>
        <w:tc>
          <w:tcPr>
            <w:tcW w:w="3888" w:type="dxa"/>
            <w:tcMar>
              <w:top w:w="50" w:type="dxa"/>
              <w:left w:w="55" w:type="dxa"/>
              <w:bottom w:w="50" w:type="dxa"/>
              <w:right w:w="55" w:type="dxa"/>
            </w:tcMar>
          </w:tcPr>
          <w:p w14:paraId="1A9ADB3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 lookup; complaint file; regulator correspondence</w:t>
            </w:r>
          </w:p>
        </w:tc>
      </w:tr>
      <w:tr w:rsidR="00756B19" w:rsidRPr="00566B6A" w14:paraId="2D9A5252" w14:textId="77777777">
        <w:trPr>
          <w:cantSplit/>
          <w:jc w:val="center"/>
        </w:trPr>
        <w:tc>
          <w:tcPr>
            <w:tcW w:w="1440" w:type="dxa"/>
            <w:shd w:val="clear" w:color="auto" w:fill="F7FAFC"/>
            <w:tcMar>
              <w:top w:w="50" w:type="dxa"/>
              <w:left w:w="55" w:type="dxa"/>
              <w:bottom w:w="50" w:type="dxa"/>
              <w:right w:w="55" w:type="dxa"/>
            </w:tcMar>
          </w:tcPr>
          <w:p w14:paraId="2D28F3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Ordinance</w:t>
            </w:r>
          </w:p>
        </w:tc>
        <w:tc>
          <w:tcPr>
            <w:tcW w:w="2448" w:type="dxa"/>
            <w:shd w:val="clear" w:color="auto" w:fill="F7FAFC"/>
            <w:tcMar>
              <w:top w:w="50" w:type="dxa"/>
              <w:left w:w="55" w:type="dxa"/>
              <w:bottom w:w="50" w:type="dxa"/>
              <w:right w:w="55" w:type="dxa"/>
            </w:tcMar>
          </w:tcPr>
          <w:p w14:paraId="1703B4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168" w:type="dxa"/>
            <w:shd w:val="clear" w:color="auto" w:fill="F7FAFC"/>
            <w:tcMar>
              <w:top w:w="50" w:type="dxa"/>
              <w:left w:w="55" w:type="dxa"/>
              <w:bottom w:w="50" w:type="dxa"/>
              <w:right w:w="55" w:type="dxa"/>
            </w:tcMar>
          </w:tcPr>
          <w:p w14:paraId="0438C32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Municipal consumer-affairs codes</w:t>
            </w:r>
          </w:p>
        </w:tc>
        <w:tc>
          <w:tcPr>
            <w:tcW w:w="3456" w:type="dxa"/>
            <w:shd w:val="clear" w:color="auto" w:fill="F7FAFC"/>
            <w:tcMar>
              <w:top w:w="50" w:type="dxa"/>
              <w:left w:w="55" w:type="dxa"/>
              <w:bottom w:w="50" w:type="dxa"/>
              <w:right w:w="55" w:type="dxa"/>
            </w:tcMar>
          </w:tcPr>
          <w:p w14:paraId="10A252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888" w:type="dxa"/>
            <w:shd w:val="clear" w:color="auto" w:fill="F7FAFC"/>
            <w:tcMar>
              <w:top w:w="50" w:type="dxa"/>
              <w:left w:w="55" w:type="dxa"/>
              <w:bottom w:w="50" w:type="dxa"/>
              <w:right w:w="55" w:type="dxa"/>
            </w:tcMar>
          </w:tcPr>
          <w:p w14:paraId="3E49BB1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Secondary to Maine and federal frameworks</w:t>
            </w:r>
          </w:p>
        </w:tc>
      </w:tr>
      <w:tr w:rsidR="00756B19" w:rsidRPr="00566B6A" w14:paraId="11219014" w14:textId="77777777">
        <w:trPr>
          <w:jc w:val="center"/>
        </w:trPr>
        <w:tc>
          <w:tcPr>
            <w:tcW w:w="1440" w:type="dxa"/>
          </w:tcPr>
          <w:p w14:paraId="1454D0C9"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14DA5CF4" w14:textId="77777777" w:rsidR="00756B19" w:rsidRPr="00566B6A" w:rsidRDefault="00F247EE">
            <w:pPr>
              <w:rPr>
                <w:rFonts w:ascii="Courier New" w:hAnsi="Courier New" w:cs="Courier New"/>
                <w:sz w:val="22"/>
              </w:rPr>
            </w:pPr>
            <w:r w:rsidRPr="00566B6A">
              <w:rPr>
                <w:rFonts w:ascii="Courier New" w:hAnsi="Courier New" w:cs="Courier New"/>
                <w:sz w:val="22"/>
              </w:rPr>
              <w:t>15 U.S.C. §§ 1681a(g), 1681e(b), 1681g(a), 1681i(a), (d)</w:t>
            </w:r>
          </w:p>
        </w:tc>
        <w:tc>
          <w:tcPr>
            <w:tcW w:w="3168" w:type="dxa"/>
          </w:tcPr>
          <w:p w14:paraId="182CBD62" w14:textId="77777777" w:rsidR="00756B19" w:rsidRPr="00566B6A" w:rsidRDefault="00F247EE">
            <w:pPr>
              <w:rPr>
                <w:rFonts w:ascii="Courier New" w:hAnsi="Courier New" w:cs="Courier New"/>
                <w:sz w:val="22"/>
              </w:rPr>
            </w:pPr>
            <w:r w:rsidRPr="00566B6A">
              <w:rPr>
                <w:rFonts w:ascii="Courier New" w:hAnsi="Courier New" w:cs="Courier New"/>
                <w:sz w:val="22"/>
              </w:rPr>
              <w:t>Personal identifiers and employer information in the consumer file; disclosure, accuracy, reinvestigation, correction, and deletion</w:t>
            </w:r>
          </w:p>
        </w:tc>
        <w:tc>
          <w:tcPr>
            <w:tcW w:w="3456" w:type="dxa"/>
          </w:tcPr>
          <w:p w14:paraId="076A09AF" w14:textId="77777777" w:rsidR="00756B19" w:rsidRPr="00566B6A" w:rsidRDefault="00F247EE">
            <w:pPr>
              <w:rPr>
                <w:rFonts w:ascii="Courier New" w:hAnsi="Courier New" w:cs="Courier New"/>
                <w:sz w:val="22"/>
              </w:rPr>
            </w:pPr>
            <w:r w:rsidRPr="00566B6A">
              <w:rPr>
                <w:rFonts w:ascii="Courier New" w:hAnsi="Courier New" w:cs="Courier New"/>
                <w:sz w:val="22"/>
              </w:rPr>
              <w:t>Free reasonable reinvestigation; revised report; prompt deletion or modification of inaccurate, incomplete, or unverifiable information; reinsertion safeguards</w:t>
            </w:r>
          </w:p>
        </w:tc>
        <w:tc>
          <w:tcPr>
            <w:tcW w:w="3888" w:type="dxa"/>
          </w:tcPr>
          <w:p w14:paraId="0A023114" w14:textId="77777777" w:rsidR="00756B19" w:rsidRPr="00566B6A" w:rsidRDefault="00F247EE">
            <w:pPr>
              <w:rPr>
                <w:rFonts w:ascii="Courier New" w:hAnsi="Courier New" w:cs="Courier New"/>
                <w:sz w:val="22"/>
              </w:rPr>
            </w:pPr>
            <w:r w:rsidRPr="00566B6A">
              <w:rPr>
                <w:rFonts w:ascii="Courier New" w:hAnsi="Courier New" w:cs="Courier New"/>
                <w:sz w:val="22"/>
              </w:rPr>
              <w:t>Credit-report page; proof of identity/current address; employer records; source request; dispute confirmation; revised report</w:t>
            </w:r>
          </w:p>
        </w:tc>
      </w:tr>
      <w:tr w:rsidR="00756B19" w:rsidRPr="00566B6A" w14:paraId="01D15742" w14:textId="77777777">
        <w:trPr>
          <w:jc w:val="center"/>
        </w:trPr>
        <w:tc>
          <w:tcPr>
            <w:tcW w:w="1440" w:type="dxa"/>
          </w:tcPr>
          <w:p w14:paraId="4FA11180"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Federal Statute</w:t>
            </w:r>
          </w:p>
        </w:tc>
        <w:tc>
          <w:tcPr>
            <w:tcW w:w="2448" w:type="dxa"/>
          </w:tcPr>
          <w:p w14:paraId="71294B37" w14:textId="77777777" w:rsidR="00756B19" w:rsidRPr="00566B6A" w:rsidRDefault="00F247EE">
            <w:pPr>
              <w:rPr>
                <w:rFonts w:ascii="Courier New" w:hAnsi="Courier New" w:cs="Courier New"/>
                <w:sz w:val="22"/>
              </w:rPr>
            </w:pPr>
            <w:r w:rsidRPr="00566B6A">
              <w:rPr>
                <w:rFonts w:ascii="Courier New" w:hAnsi="Courier New" w:cs="Courier New"/>
                <w:sz w:val="22"/>
              </w:rPr>
              <w:t>15 U.S.C. §§ 1681s-2(b), 1681c-2</w:t>
            </w:r>
          </w:p>
        </w:tc>
        <w:tc>
          <w:tcPr>
            <w:tcW w:w="3168" w:type="dxa"/>
          </w:tcPr>
          <w:p w14:paraId="58377683" w14:textId="77777777" w:rsidR="00756B19" w:rsidRPr="00566B6A" w:rsidRDefault="00F247EE">
            <w:pPr>
              <w:rPr>
                <w:rFonts w:ascii="Courier New" w:hAnsi="Courier New" w:cs="Courier New"/>
                <w:sz w:val="22"/>
              </w:rPr>
            </w:pPr>
            <w:r w:rsidRPr="00566B6A">
              <w:rPr>
                <w:rFonts w:ascii="Courier New" w:hAnsi="Courier New" w:cs="Courier New"/>
                <w:sz w:val="22"/>
              </w:rPr>
              <w:t>Furnisher duties after CRA dispute notice; blocking of identity-theft information</w:t>
            </w:r>
          </w:p>
        </w:tc>
        <w:tc>
          <w:tcPr>
            <w:tcW w:w="3456" w:type="dxa"/>
          </w:tcPr>
          <w:p w14:paraId="62CA7167" w14:textId="77777777" w:rsidR="00756B19" w:rsidRPr="00566B6A" w:rsidRDefault="00F247EE">
            <w:pPr>
              <w:rPr>
                <w:rFonts w:ascii="Courier New" w:hAnsi="Courier New" w:cs="Courier New"/>
                <w:sz w:val="22"/>
              </w:rPr>
            </w:pPr>
            <w:r w:rsidRPr="00566B6A">
              <w:rPr>
                <w:rFonts w:ascii="Courier New" w:hAnsi="Courier New" w:cs="Courier New"/>
                <w:sz w:val="22"/>
              </w:rPr>
              <w:t>Investigation and modification, deletion, or permanent block where applicable; identity-theft block after required documentation</w:t>
            </w:r>
          </w:p>
        </w:tc>
        <w:tc>
          <w:tcPr>
            <w:tcW w:w="3888" w:type="dxa"/>
          </w:tcPr>
          <w:p w14:paraId="0B6D7941" w14:textId="77777777" w:rsidR="00756B19" w:rsidRPr="00566B6A" w:rsidRDefault="00F247EE">
            <w:pPr>
              <w:rPr>
                <w:rFonts w:ascii="Courier New" w:hAnsi="Courier New" w:cs="Courier New"/>
                <w:sz w:val="22"/>
              </w:rPr>
            </w:pPr>
            <w:r w:rsidRPr="00566B6A">
              <w:rPr>
                <w:rFonts w:ascii="Courier New" w:hAnsi="Courier New" w:cs="Courier New"/>
                <w:sz w:val="22"/>
              </w:rPr>
              <w:t>CRA dispute ID; identity-theft report; proof of identity; exact disputed identifiers; furnisher and bureau responses</w:t>
            </w:r>
          </w:p>
        </w:tc>
      </w:tr>
      <w:tr w:rsidR="00756B19" w:rsidRPr="00566B6A" w14:paraId="1CA34029" w14:textId="77777777">
        <w:trPr>
          <w:jc w:val="center"/>
        </w:trPr>
        <w:tc>
          <w:tcPr>
            <w:tcW w:w="1440" w:type="dxa"/>
          </w:tcPr>
          <w:p w14:paraId="570D2BA2" w14:textId="77777777" w:rsidR="00756B19" w:rsidRPr="00566B6A" w:rsidRDefault="00F247EE">
            <w:pPr>
              <w:rPr>
                <w:rFonts w:ascii="Courier New" w:hAnsi="Courier New" w:cs="Courier New"/>
                <w:sz w:val="22"/>
              </w:rPr>
            </w:pPr>
            <w:r w:rsidRPr="00566B6A">
              <w:rPr>
                <w:rFonts w:ascii="Courier New" w:hAnsi="Courier New" w:cs="Courier New"/>
                <w:sz w:val="22"/>
              </w:rPr>
              <w:t>Federal Regulation</w:t>
            </w:r>
          </w:p>
        </w:tc>
        <w:tc>
          <w:tcPr>
            <w:tcW w:w="2448" w:type="dxa"/>
          </w:tcPr>
          <w:p w14:paraId="2F4FC996" w14:textId="77777777" w:rsidR="00756B19" w:rsidRPr="00566B6A" w:rsidRDefault="00F247EE">
            <w:pPr>
              <w:rPr>
                <w:rFonts w:ascii="Courier New" w:hAnsi="Courier New" w:cs="Courier New"/>
                <w:sz w:val="22"/>
              </w:rPr>
            </w:pPr>
            <w:r w:rsidRPr="00566B6A">
              <w:rPr>
                <w:rFonts w:ascii="Courier New" w:hAnsi="Courier New" w:cs="Courier New"/>
                <w:sz w:val="22"/>
              </w:rPr>
              <w:t>12 C.F.R. § 1022.43(b)(1)(i)–(ii)</w:t>
            </w:r>
          </w:p>
        </w:tc>
        <w:tc>
          <w:tcPr>
            <w:tcW w:w="3168" w:type="dxa"/>
          </w:tcPr>
          <w:p w14:paraId="22F540E8" w14:textId="77777777" w:rsidR="00756B19" w:rsidRPr="00566B6A" w:rsidRDefault="00F247EE">
            <w:pPr>
              <w:rPr>
                <w:rFonts w:ascii="Courier New" w:hAnsi="Courier New" w:cs="Courier New"/>
                <w:sz w:val="22"/>
              </w:rPr>
            </w:pPr>
            <w:r w:rsidRPr="00566B6A">
              <w:rPr>
                <w:rFonts w:ascii="Courier New" w:hAnsi="Courier New" w:cs="Courier New"/>
                <w:sz w:val="22"/>
              </w:rPr>
              <w:t>Direct-furnisher dispute exception for identifying information, addresses, telephone numbers, and past or present employers</w:t>
            </w:r>
          </w:p>
        </w:tc>
        <w:tc>
          <w:tcPr>
            <w:tcW w:w="3456" w:type="dxa"/>
          </w:tcPr>
          <w:p w14:paraId="35C7CDB6" w14:textId="77777777" w:rsidR="00756B19" w:rsidRPr="00566B6A" w:rsidRDefault="00F247EE">
            <w:pPr>
              <w:rPr>
                <w:rFonts w:ascii="Courier New" w:hAnsi="Courier New" w:cs="Courier New"/>
                <w:sz w:val="22"/>
              </w:rPr>
            </w:pPr>
            <w:r w:rsidRPr="00566B6A">
              <w:rPr>
                <w:rFonts w:ascii="Courier New" w:hAnsi="Courier New" w:cs="Courier New"/>
                <w:sz w:val="22"/>
              </w:rPr>
              <w:t>Routes the primary identifying-information dispute to the consumer reporting agency; CRA-to-furnisher duties may apply after agency notice</w:t>
            </w:r>
          </w:p>
        </w:tc>
        <w:tc>
          <w:tcPr>
            <w:tcW w:w="3888" w:type="dxa"/>
          </w:tcPr>
          <w:p w14:paraId="4D2B9941" w14:textId="77777777" w:rsidR="00756B19" w:rsidRPr="00566B6A" w:rsidRDefault="00F247EE">
            <w:pPr>
              <w:rPr>
                <w:rFonts w:ascii="Courier New" w:hAnsi="Courier New" w:cs="Courier New"/>
                <w:sz w:val="22"/>
              </w:rPr>
            </w:pPr>
            <w:r w:rsidRPr="00566B6A">
              <w:rPr>
                <w:rFonts w:ascii="Courier New" w:hAnsi="Courier New" w:cs="Courier New"/>
                <w:sz w:val="22"/>
              </w:rPr>
              <w:t>Avoid misrouting; preserve bureau submission, supporting documents, transmission record, and investigation results</w:t>
            </w:r>
          </w:p>
        </w:tc>
      </w:tr>
    </w:tbl>
    <w:p w14:paraId="02A6E13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B — STATE CASE LAW LIBRARY (REQUIRED)</w:t>
      </w:r>
    </w:p>
    <w:p w14:paraId="571A1F31"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Maine (ME)</w:t>
      </w:r>
    </w:p>
    <w:p w14:paraId="202B8774"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Educational module — no liability conclusions. No invented citations. The debt-collection decision below is a Maine Supreme Judicial Court case interpreting the Maine and federal FDCPA definitions and remedies; it should not be described as deciding liability on the underlying collection conduct.</w:t>
      </w:r>
    </w:p>
    <w:p w14:paraId="40F81FCB"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UDAP / Consumer Deception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3AF2E37" w14:textId="77777777">
        <w:trPr>
          <w:cantSplit/>
          <w:tblHeader/>
          <w:jc w:val="center"/>
        </w:trPr>
        <w:tc>
          <w:tcPr>
            <w:tcW w:w="2232" w:type="dxa"/>
            <w:shd w:val="clear" w:color="auto" w:fill="D9EAF7"/>
            <w:tcMar>
              <w:top w:w="55" w:type="dxa"/>
              <w:left w:w="55" w:type="dxa"/>
              <w:bottom w:w="55" w:type="dxa"/>
              <w:right w:w="55" w:type="dxa"/>
            </w:tcMar>
            <w:vAlign w:val="center"/>
          </w:tcPr>
          <w:p w14:paraId="09E8807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379642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1A73DC7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69DD40A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68054F4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2EC055F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05154CF" w14:textId="77777777">
        <w:trPr>
          <w:cantSplit/>
          <w:jc w:val="center"/>
        </w:trPr>
        <w:tc>
          <w:tcPr>
            <w:tcW w:w="2232" w:type="dxa"/>
            <w:tcMar>
              <w:top w:w="50" w:type="dxa"/>
              <w:left w:w="55" w:type="dxa"/>
              <w:bottom w:w="50" w:type="dxa"/>
              <w:right w:w="55" w:type="dxa"/>
            </w:tcMar>
          </w:tcPr>
          <w:p w14:paraId="128CB80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State v. Weinschenk</w:t>
            </w:r>
          </w:p>
        </w:tc>
        <w:tc>
          <w:tcPr>
            <w:tcW w:w="1152" w:type="dxa"/>
            <w:tcMar>
              <w:top w:w="50" w:type="dxa"/>
              <w:left w:w="55" w:type="dxa"/>
              <w:bottom w:w="50" w:type="dxa"/>
              <w:right w:w="55" w:type="dxa"/>
            </w:tcMar>
          </w:tcPr>
          <w:p w14:paraId="3B7C4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 Sup. Jud. Ct.</w:t>
            </w:r>
          </w:p>
        </w:tc>
        <w:tc>
          <w:tcPr>
            <w:tcW w:w="748" w:type="dxa"/>
            <w:tcMar>
              <w:top w:w="50" w:type="dxa"/>
              <w:left w:w="55" w:type="dxa"/>
              <w:bottom w:w="50" w:type="dxa"/>
              <w:right w:w="55" w:type="dxa"/>
            </w:tcMar>
          </w:tcPr>
          <w:p w14:paraId="29F9D2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2005</w:t>
            </w:r>
          </w:p>
        </w:tc>
        <w:tc>
          <w:tcPr>
            <w:tcW w:w="2088" w:type="dxa"/>
            <w:tcMar>
              <w:top w:w="50" w:type="dxa"/>
              <w:left w:w="55" w:type="dxa"/>
              <w:bottom w:w="50" w:type="dxa"/>
              <w:right w:w="55" w:type="dxa"/>
            </w:tcMar>
          </w:tcPr>
          <w:p w14:paraId="701025B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2005 ME 28, 868 A.2d 200</w:t>
            </w:r>
          </w:p>
        </w:tc>
        <w:tc>
          <w:tcPr>
            <w:tcW w:w="4536" w:type="dxa"/>
            <w:tcMar>
              <w:top w:w="50" w:type="dxa"/>
              <w:left w:w="55" w:type="dxa"/>
              <w:bottom w:w="50" w:type="dxa"/>
              <w:right w:w="55" w:type="dxa"/>
            </w:tcMar>
          </w:tcPr>
          <w:p w14:paraId="368304C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Explains that unfairness generally requires substantial consumer injury that is not reasonably avoidable and is not outweighed by countervailing benefits. A deceptive practice may be a material representation, omission, act, or practice likely to mislead reasonable consumers.</w:t>
            </w:r>
          </w:p>
        </w:tc>
        <w:tc>
          <w:tcPr>
            <w:tcW w:w="3643" w:type="dxa"/>
            <w:tcMar>
              <w:top w:w="50" w:type="dxa"/>
              <w:left w:w="55" w:type="dxa"/>
              <w:bottom w:w="50" w:type="dxa"/>
              <w:right w:w="55" w:type="dxa"/>
            </w:tcMar>
          </w:tcPr>
          <w:p w14:paraId="5B5AAAA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the material statement or omission, consumer reliance or decision impact, substantial injury, ability to avoid the harm, and any asserted countervailing benefit.</w:t>
            </w:r>
          </w:p>
        </w:tc>
      </w:tr>
      <w:tr w:rsidR="00756B19" w:rsidRPr="00566B6A" w14:paraId="564926D0" w14:textId="77777777">
        <w:trPr>
          <w:cantSplit/>
          <w:jc w:val="center"/>
        </w:trPr>
        <w:tc>
          <w:tcPr>
            <w:tcW w:w="2232" w:type="dxa"/>
            <w:shd w:val="clear" w:color="auto" w:fill="F7FAFC"/>
            <w:tcMar>
              <w:top w:w="50" w:type="dxa"/>
              <w:left w:w="55" w:type="dxa"/>
              <w:bottom w:w="50" w:type="dxa"/>
              <w:right w:w="55" w:type="dxa"/>
            </w:tcMar>
          </w:tcPr>
          <w:p w14:paraId="0B2F4D0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McKinnon v. Honeywell International, Inc.</w:t>
            </w:r>
          </w:p>
        </w:tc>
        <w:tc>
          <w:tcPr>
            <w:tcW w:w="1152" w:type="dxa"/>
            <w:shd w:val="clear" w:color="auto" w:fill="F7FAFC"/>
            <w:tcMar>
              <w:top w:w="50" w:type="dxa"/>
              <w:left w:w="55" w:type="dxa"/>
              <w:bottom w:w="50" w:type="dxa"/>
              <w:right w:w="55" w:type="dxa"/>
            </w:tcMar>
          </w:tcPr>
          <w:p w14:paraId="30AA2E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 Sup. Jud. Ct.</w:t>
            </w:r>
          </w:p>
        </w:tc>
        <w:tc>
          <w:tcPr>
            <w:tcW w:w="748" w:type="dxa"/>
            <w:shd w:val="clear" w:color="auto" w:fill="F7FAFC"/>
            <w:tcMar>
              <w:top w:w="50" w:type="dxa"/>
              <w:left w:w="55" w:type="dxa"/>
              <w:bottom w:w="50" w:type="dxa"/>
              <w:right w:w="55" w:type="dxa"/>
            </w:tcMar>
          </w:tcPr>
          <w:p w14:paraId="0BC015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2009</w:t>
            </w:r>
          </w:p>
        </w:tc>
        <w:tc>
          <w:tcPr>
            <w:tcW w:w="2088" w:type="dxa"/>
            <w:shd w:val="clear" w:color="auto" w:fill="F7FAFC"/>
            <w:tcMar>
              <w:top w:w="50" w:type="dxa"/>
              <w:left w:w="55" w:type="dxa"/>
              <w:bottom w:w="50" w:type="dxa"/>
              <w:right w:w="55" w:type="dxa"/>
            </w:tcMar>
          </w:tcPr>
          <w:p w14:paraId="6313DF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2009 ME 69, 977 A.2d 420</w:t>
            </w:r>
          </w:p>
        </w:tc>
        <w:tc>
          <w:tcPr>
            <w:tcW w:w="4536" w:type="dxa"/>
            <w:shd w:val="clear" w:color="auto" w:fill="F7FAFC"/>
            <w:tcMar>
              <w:top w:w="50" w:type="dxa"/>
              <w:left w:w="55" w:type="dxa"/>
              <w:bottom w:w="50" w:type="dxa"/>
              <w:right w:w="55" w:type="dxa"/>
            </w:tcMar>
          </w:tcPr>
          <w:p w14:paraId="0C65D9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Applied Maine’s six-year limitations period to a UTPA claim and explained that accrual generally occurs when the plaintiff sustains a judicially cognizable injury. The court also required a nonspeculative loss or injury to support the consumer claim.</w:t>
            </w:r>
          </w:p>
        </w:tc>
        <w:tc>
          <w:tcPr>
            <w:tcW w:w="3643" w:type="dxa"/>
            <w:shd w:val="clear" w:color="auto" w:fill="F7FAFC"/>
            <w:tcMar>
              <w:top w:w="50" w:type="dxa"/>
              <w:left w:w="55" w:type="dxa"/>
              <w:bottom w:w="50" w:type="dxa"/>
              <w:right w:w="55" w:type="dxa"/>
            </w:tcMar>
          </w:tcPr>
          <w:p w14:paraId="3A5126C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transaction date, date of actual loss, proof of payment, alleged misrepresentation, damages calculation, and filing deadline under 14 M.R.S. § 752.</w:t>
            </w:r>
          </w:p>
        </w:tc>
      </w:tr>
    </w:tbl>
    <w:p w14:paraId="4F62CBD5" w14:textId="77777777" w:rsidR="00756B19" w:rsidRPr="00566B6A" w:rsidRDefault="00756B19">
      <w:pPr>
        <w:spacing w:after="20"/>
        <w:rPr>
          <w:rFonts w:ascii="Courier New" w:hAnsi="Courier New" w:cs="Courier New"/>
          <w:sz w:val="22"/>
        </w:rPr>
      </w:pPr>
    </w:p>
    <w:p w14:paraId="1C32952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Debt Collection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18B8F6A0" w14:textId="77777777">
        <w:trPr>
          <w:cantSplit/>
          <w:tblHeader/>
          <w:jc w:val="center"/>
        </w:trPr>
        <w:tc>
          <w:tcPr>
            <w:tcW w:w="2232" w:type="dxa"/>
            <w:shd w:val="clear" w:color="auto" w:fill="D9EAF7"/>
            <w:tcMar>
              <w:top w:w="55" w:type="dxa"/>
              <w:left w:w="55" w:type="dxa"/>
              <w:bottom w:w="55" w:type="dxa"/>
              <w:right w:w="55" w:type="dxa"/>
            </w:tcMar>
            <w:vAlign w:val="center"/>
          </w:tcPr>
          <w:p w14:paraId="5B90CCC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5D0D30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5DFC5E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5C2E9C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1908DB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199149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05F12712" w14:textId="77777777">
        <w:trPr>
          <w:cantSplit/>
          <w:jc w:val="center"/>
        </w:trPr>
        <w:tc>
          <w:tcPr>
            <w:tcW w:w="2232" w:type="dxa"/>
            <w:tcMar>
              <w:top w:w="50" w:type="dxa"/>
              <w:left w:w="55" w:type="dxa"/>
              <w:bottom w:w="50" w:type="dxa"/>
              <w:right w:w="55" w:type="dxa"/>
            </w:tcMar>
          </w:tcPr>
          <w:p w14:paraId="0ADA0A1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Bank of America, N.A. v. Camire</w:t>
            </w:r>
          </w:p>
        </w:tc>
        <w:tc>
          <w:tcPr>
            <w:tcW w:w="1152" w:type="dxa"/>
            <w:tcMar>
              <w:top w:w="50" w:type="dxa"/>
              <w:left w:w="55" w:type="dxa"/>
              <w:bottom w:w="50" w:type="dxa"/>
              <w:right w:w="55" w:type="dxa"/>
            </w:tcMar>
          </w:tcPr>
          <w:p w14:paraId="69C2673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 Sup. Jud. Ct.</w:t>
            </w:r>
          </w:p>
        </w:tc>
        <w:tc>
          <w:tcPr>
            <w:tcW w:w="748" w:type="dxa"/>
            <w:tcMar>
              <w:top w:w="50" w:type="dxa"/>
              <w:left w:w="55" w:type="dxa"/>
              <w:bottom w:w="50" w:type="dxa"/>
              <w:right w:w="55" w:type="dxa"/>
            </w:tcMar>
          </w:tcPr>
          <w:p w14:paraId="61FE14F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2017</w:t>
            </w:r>
          </w:p>
        </w:tc>
        <w:tc>
          <w:tcPr>
            <w:tcW w:w="2088" w:type="dxa"/>
            <w:tcMar>
              <w:top w:w="50" w:type="dxa"/>
              <w:left w:w="55" w:type="dxa"/>
              <w:bottom w:w="50" w:type="dxa"/>
              <w:right w:w="55" w:type="dxa"/>
            </w:tcMar>
          </w:tcPr>
          <w:p w14:paraId="6B7781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2017 ME 20, 155 A.3d 416</w:t>
            </w:r>
          </w:p>
        </w:tc>
        <w:tc>
          <w:tcPr>
            <w:tcW w:w="4536" w:type="dxa"/>
            <w:tcMar>
              <w:top w:w="50" w:type="dxa"/>
              <w:left w:w="55" w:type="dxa"/>
              <w:bottom w:w="50" w:type="dxa"/>
              <w:right w:w="55" w:type="dxa"/>
            </w:tcMar>
          </w:tcPr>
          <w:p w14:paraId="62B1EA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the record did not establish as a matter of law that the collecting entity was exempt from the Maine and federal FDCPA. A creditor may qualify as a debt collector when collecting under another name suggesting that a third party is involved. FDCPA relief does not erase the underlying debt.</w:t>
            </w:r>
          </w:p>
        </w:tc>
        <w:tc>
          <w:tcPr>
            <w:tcW w:w="3643" w:type="dxa"/>
            <w:tcMar>
              <w:top w:w="50" w:type="dxa"/>
              <w:left w:w="55" w:type="dxa"/>
              <w:bottom w:w="50" w:type="dxa"/>
              <w:right w:w="55" w:type="dxa"/>
            </w:tcMar>
          </w:tcPr>
          <w:p w14:paraId="5E6C90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creditor and collector names, assignment and merger records, collection pleadings, account ownership evidence, communications, and the one-year Maine FDCPA limitations date.</w:t>
            </w:r>
          </w:p>
        </w:tc>
      </w:tr>
    </w:tbl>
    <w:p w14:paraId="0F748E78" w14:textId="77777777" w:rsidR="00756B19" w:rsidRPr="00566B6A" w:rsidRDefault="00756B19">
      <w:pPr>
        <w:spacing w:after="20"/>
        <w:rPr>
          <w:rFonts w:ascii="Courier New" w:hAnsi="Courier New" w:cs="Courier New"/>
          <w:sz w:val="22"/>
        </w:rPr>
      </w:pPr>
    </w:p>
    <w:p w14:paraId="058A5C8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Case Law (Curated — Consolidated)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E0F2305" w14:textId="77777777">
        <w:trPr>
          <w:cantSplit/>
          <w:tblHeader/>
          <w:jc w:val="center"/>
        </w:trPr>
        <w:tc>
          <w:tcPr>
            <w:tcW w:w="2232" w:type="dxa"/>
            <w:shd w:val="clear" w:color="auto" w:fill="D9EAF7"/>
            <w:tcMar>
              <w:top w:w="55" w:type="dxa"/>
              <w:left w:w="55" w:type="dxa"/>
              <w:bottom w:w="55" w:type="dxa"/>
              <w:right w:w="55" w:type="dxa"/>
            </w:tcMar>
            <w:vAlign w:val="center"/>
          </w:tcPr>
          <w:p w14:paraId="280C4CB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AE889C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45FAB46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DE842F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25DCC4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3371C13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2A128B0D" w14:textId="77777777">
        <w:trPr>
          <w:cantSplit/>
          <w:jc w:val="center"/>
        </w:trPr>
        <w:tc>
          <w:tcPr>
            <w:tcW w:w="2232" w:type="dxa"/>
            <w:tcMar>
              <w:top w:w="50" w:type="dxa"/>
              <w:left w:w="55" w:type="dxa"/>
              <w:bottom w:w="50" w:type="dxa"/>
              <w:right w:w="55" w:type="dxa"/>
            </w:tcMar>
          </w:tcPr>
          <w:p w14:paraId="15BF32D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State v. Weinschenk</w:t>
            </w:r>
          </w:p>
        </w:tc>
        <w:tc>
          <w:tcPr>
            <w:tcW w:w="1152" w:type="dxa"/>
            <w:tcMar>
              <w:top w:w="50" w:type="dxa"/>
              <w:left w:w="55" w:type="dxa"/>
              <w:bottom w:w="50" w:type="dxa"/>
              <w:right w:w="55" w:type="dxa"/>
            </w:tcMar>
          </w:tcPr>
          <w:p w14:paraId="630E02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 Sup. Jud. Ct.</w:t>
            </w:r>
          </w:p>
        </w:tc>
        <w:tc>
          <w:tcPr>
            <w:tcW w:w="748" w:type="dxa"/>
            <w:tcMar>
              <w:top w:w="50" w:type="dxa"/>
              <w:left w:w="55" w:type="dxa"/>
              <w:bottom w:w="50" w:type="dxa"/>
              <w:right w:w="55" w:type="dxa"/>
            </w:tcMar>
          </w:tcPr>
          <w:p w14:paraId="2B76484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2005</w:t>
            </w:r>
          </w:p>
        </w:tc>
        <w:tc>
          <w:tcPr>
            <w:tcW w:w="2088" w:type="dxa"/>
            <w:tcMar>
              <w:top w:w="50" w:type="dxa"/>
              <w:left w:w="55" w:type="dxa"/>
              <w:bottom w:w="50" w:type="dxa"/>
              <w:right w:w="55" w:type="dxa"/>
            </w:tcMar>
          </w:tcPr>
          <w:p w14:paraId="73C05E2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2005 ME 28, 868 A.2d 200</w:t>
            </w:r>
          </w:p>
        </w:tc>
        <w:tc>
          <w:tcPr>
            <w:tcW w:w="4536" w:type="dxa"/>
            <w:tcMar>
              <w:top w:w="50" w:type="dxa"/>
              <w:left w:w="55" w:type="dxa"/>
              <w:bottom w:w="50" w:type="dxa"/>
              <w:right w:w="55" w:type="dxa"/>
            </w:tcMar>
          </w:tcPr>
          <w:p w14:paraId="35E9EA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Explains that unfairness generally requires substantial consumer injury that is not reasonably avoidable and is not outweighed by countervailing benefits. A deceptive practice may be a material representation, omission, act, or practice likely to mislead reasonable consumers.</w:t>
            </w:r>
          </w:p>
        </w:tc>
        <w:tc>
          <w:tcPr>
            <w:tcW w:w="3643" w:type="dxa"/>
            <w:tcMar>
              <w:top w:w="50" w:type="dxa"/>
              <w:left w:w="55" w:type="dxa"/>
              <w:bottom w:w="50" w:type="dxa"/>
              <w:right w:w="55" w:type="dxa"/>
            </w:tcMar>
          </w:tcPr>
          <w:p w14:paraId="69E8FBD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the material statement or omission, consumer reliance or decision impact, substantial injury, ability to avoid the harm, and any asserted countervailing benefit.</w:t>
            </w:r>
          </w:p>
        </w:tc>
      </w:tr>
      <w:tr w:rsidR="00756B19" w:rsidRPr="00566B6A" w14:paraId="26093C36" w14:textId="77777777">
        <w:trPr>
          <w:cantSplit/>
          <w:jc w:val="center"/>
        </w:trPr>
        <w:tc>
          <w:tcPr>
            <w:tcW w:w="2232" w:type="dxa"/>
            <w:shd w:val="clear" w:color="auto" w:fill="F7FAFC"/>
            <w:tcMar>
              <w:top w:w="50" w:type="dxa"/>
              <w:left w:w="55" w:type="dxa"/>
              <w:bottom w:w="50" w:type="dxa"/>
              <w:right w:w="55" w:type="dxa"/>
            </w:tcMar>
          </w:tcPr>
          <w:p w14:paraId="246D35A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McKinnon v. Honeywell International, Inc.</w:t>
            </w:r>
          </w:p>
        </w:tc>
        <w:tc>
          <w:tcPr>
            <w:tcW w:w="1152" w:type="dxa"/>
            <w:shd w:val="clear" w:color="auto" w:fill="F7FAFC"/>
            <w:tcMar>
              <w:top w:w="50" w:type="dxa"/>
              <w:left w:w="55" w:type="dxa"/>
              <w:bottom w:w="50" w:type="dxa"/>
              <w:right w:w="55" w:type="dxa"/>
            </w:tcMar>
          </w:tcPr>
          <w:p w14:paraId="0CB14AC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 Sup. Jud. Ct.</w:t>
            </w:r>
          </w:p>
        </w:tc>
        <w:tc>
          <w:tcPr>
            <w:tcW w:w="748" w:type="dxa"/>
            <w:shd w:val="clear" w:color="auto" w:fill="F7FAFC"/>
            <w:tcMar>
              <w:top w:w="50" w:type="dxa"/>
              <w:left w:w="55" w:type="dxa"/>
              <w:bottom w:w="50" w:type="dxa"/>
              <w:right w:w="55" w:type="dxa"/>
            </w:tcMar>
          </w:tcPr>
          <w:p w14:paraId="088D68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2009</w:t>
            </w:r>
          </w:p>
        </w:tc>
        <w:tc>
          <w:tcPr>
            <w:tcW w:w="2088" w:type="dxa"/>
            <w:shd w:val="clear" w:color="auto" w:fill="F7FAFC"/>
            <w:tcMar>
              <w:top w:w="50" w:type="dxa"/>
              <w:left w:w="55" w:type="dxa"/>
              <w:bottom w:w="50" w:type="dxa"/>
              <w:right w:w="55" w:type="dxa"/>
            </w:tcMar>
          </w:tcPr>
          <w:p w14:paraId="33FCBA3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2009 ME 69, 977 A.2d 420</w:t>
            </w:r>
          </w:p>
        </w:tc>
        <w:tc>
          <w:tcPr>
            <w:tcW w:w="4536" w:type="dxa"/>
            <w:shd w:val="clear" w:color="auto" w:fill="F7FAFC"/>
            <w:tcMar>
              <w:top w:w="50" w:type="dxa"/>
              <w:left w:w="55" w:type="dxa"/>
              <w:bottom w:w="50" w:type="dxa"/>
              <w:right w:w="55" w:type="dxa"/>
            </w:tcMar>
          </w:tcPr>
          <w:p w14:paraId="018047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Applied Maine’s six-year limitations period to a UTPA claim and explained that accrual generally occurs when the plaintiff sustains a judicially cognizable injury. The court also required a nonspeculative loss or injury to support the consumer claim.</w:t>
            </w:r>
          </w:p>
        </w:tc>
        <w:tc>
          <w:tcPr>
            <w:tcW w:w="3643" w:type="dxa"/>
            <w:shd w:val="clear" w:color="auto" w:fill="F7FAFC"/>
            <w:tcMar>
              <w:top w:w="50" w:type="dxa"/>
              <w:left w:w="55" w:type="dxa"/>
              <w:bottom w:w="50" w:type="dxa"/>
              <w:right w:w="55" w:type="dxa"/>
            </w:tcMar>
          </w:tcPr>
          <w:p w14:paraId="314458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transaction date, date of actual loss, proof of payment, alleged misrepresentation, damages calculation, and filing deadline under 14 M.R.S. § 752.</w:t>
            </w:r>
          </w:p>
        </w:tc>
      </w:tr>
      <w:tr w:rsidR="00756B19" w:rsidRPr="00566B6A" w14:paraId="4415A3DF" w14:textId="77777777">
        <w:trPr>
          <w:cantSplit/>
          <w:jc w:val="center"/>
        </w:trPr>
        <w:tc>
          <w:tcPr>
            <w:tcW w:w="2232" w:type="dxa"/>
            <w:tcMar>
              <w:top w:w="50" w:type="dxa"/>
              <w:left w:w="55" w:type="dxa"/>
              <w:bottom w:w="50" w:type="dxa"/>
              <w:right w:w="55" w:type="dxa"/>
            </w:tcMar>
          </w:tcPr>
          <w:p w14:paraId="4B579E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Bank of America, N.A. v. Camire</w:t>
            </w:r>
          </w:p>
        </w:tc>
        <w:tc>
          <w:tcPr>
            <w:tcW w:w="1152" w:type="dxa"/>
            <w:tcMar>
              <w:top w:w="50" w:type="dxa"/>
              <w:left w:w="55" w:type="dxa"/>
              <w:bottom w:w="50" w:type="dxa"/>
              <w:right w:w="55" w:type="dxa"/>
            </w:tcMar>
          </w:tcPr>
          <w:p w14:paraId="7B5BE9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 Sup. Jud. Ct.</w:t>
            </w:r>
          </w:p>
        </w:tc>
        <w:tc>
          <w:tcPr>
            <w:tcW w:w="748" w:type="dxa"/>
            <w:tcMar>
              <w:top w:w="50" w:type="dxa"/>
              <w:left w:w="55" w:type="dxa"/>
              <w:bottom w:w="50" w:type="dxa"/>
              <w:right w:w="55" w:type="dxa"/>
            </w:tcMar>
          </w:tcPr>
          <w:p w14:paraId="100CFD6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2017</w:t>
            </w:r>
          </w:p>
        </w:tc>
        <w:tc>
          <w:tcPr>
            <w:tcW w:w="2088" w:type="dxa"/>
            <w:tcMar>
              <w:top w:w="50" w:type="dxa"/>
              <w:left w:w="55" w:type="dxa"/>
              <w:bottom w:w="50" w:type="dxa"/>
              <w:right w:w="55" w:type="dxa"/>
            </w:tcMar>
          </w:tcPr>
          <w:p w14:paraId="5D62FA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2017 ME 20, 155 A.3d 416</w:t>
            </w:r>
          </w:p>
        </w:tc>
        <w:tc>
          <w:tcPr>
            <w:tcW w:w="4536" w:type="dxa"/>
            <w:tcMar>
              <w:top w:w="50" w:type="dxa"/>
              <w:left w:w="55" w:type="dxa"/>
              <w:bottom w:w="50" w:type="dxa"/>
              <w:right w:w="55" w:type="dxa"/>
            </w:tcMar>
          </w:tcPr>
          <w:p w14:paraId="392406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the record did not establish as a matter of law that the collecting entity was exempt from the Maine and federal FDCPA. A creditor may qualify as a debt collector when collecting under another name suggesting that a third party is involved. FDCPA relief does not erase the underlying debt.</w:t>
            </w:r>
          </w:p>
        </w:tc>
        <w:tc>
          <w:tcPr>
            <w:tcW w:w="3643" w:type="dxa"/>
            <w:tcMar>
              <w:top w:w="50" w:type="dxa"/>
              <w:left w:w="55" w:type="dxa"/>
              <w:bottom w:w="50" w:type="dxa"/>
              <w:right w:w="55" w:type="dxa"/>
            </w:tcMar>
          </w:tcPr>
          <w:p w14:paraId="361E50F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creditor and collector names, assignment and merger records, collection pleadings, account ownership evidence, communications, and the one-year Maine FDCPA limitations date.</w:t>
            </w:r>
          </w:p>
        </w:tc>
      </w:tr>
    </w:tbl>
    <w:p w14:paraId="0D3C7111" w14:textId="77777777" w:rsidR="00756B19" w:rsidRPr="00566B6A" w:rsidRDefault="00756B19">
      <w:pPr>
        <w:spacing w:after="20"/>
        <w:rPr>
          <w:rFonts w:ascii="Courier New" w:hAnsi="Courier New" w:cs="Courier New"/>
          <w:sz w:val="22"/>
        </w:rPr>
      </w:pPr>
    </w:p>
    <w:p w14:paraId="62CA3E7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C — FCRA PREEMPTION + STATE-LAW SAFE ZONES (WITH CITATIONS)</w:t>
      </w:r>
    </w:p>
    <w:p w14:paraId="03CC2CC9" w14:textId="77777777" w:rsidR="00756B19" w:rsidRPr="00566B6A" w:rsidRDefault="00F247EE">
      <w:pPr>
        <w:keepNext/>
        <w:spacing w:after="60"/>
        <w:rPr>
          <w:rFonts w:ascii="Courier New" w:hAnsi="Courier New" w:cs="Courier New"/>
          <w:sz w:val="22"/>
        </w:rPr>
      </w:pPr>
      <w:r w:rsidRPr="00566B6A">
        <w:rPr>
          <w:rFonts w:ascii="Courier New" w:hAnsi="Courier New" w:cs="Courier New"/>
          <w:b/>
          <w:sz w:val="22"/>
        </w:rPr>
        <w:t>Federal preemption provisions (educational):</w:t>
      </w:r>
    </w:p>
    <w:p w14:paraId="4ADED9A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1681t(b) — </w:t>
      </w:r>
      <w:r w:rsidRPr="00566B6A">
        <w:rPr>
          <w:rFonts w:ascii="Courier New" w:hAnsi="Courier New" w:cs="Courier New"/>
          <w:sz w:val="22"/>
        </w:rPr>
        <w:t>preemption of certain state laws concerning subject matter regulated by the FCRA.</w:t>
      </w:r>
    </w:p>
    <w:p w14:paraId="6250FC8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1681h(e) — </w:t>
      </w:r>
      <w:r w:rsidRPr="00566B6A">
        <w:rPr>
          <w:rFonts w:ascii="Courier New" w:hAnsi="Courier New" w:cs="Courier New"/>
          <w:sz w:val="22"/>
        </w:rPr>
        <w:t>limitations on certain state causes of action involving information disclosed under specified FCRA provisions.</w:t>
      </w:r>
    </w:p>
    <w:p w14:paraId="57F5134C" w14:textId="77777777" w:rsidR="00756B19" w:rsidRDefault="00F247EE">
      <w:pPr>
        <w:spacing w:after="60"/>
        <w:rPr>
          <w:rFonts w:ascii="Courier New" w:hAnsi="Courier New" w:cs="Courier New"/>
          <w:sz w:val="22"/>
        </w:rPr>
      </w:pPr>
      <w:r w:rsidRPr="00566B6A">
        <w:rPr>
          <w:rFonts w:ascii="Courier New" w:hAnsi="Courier New" w:cs="Courier New"/>
          <w:sz w:val="22"/>
        </w:rPr>
        <w:t>Educational summary: Federal law generally governs CRA and furnisher duties concerning accuracy, reinvestigation, dispute processing, and reporting. Maine’s FCRA incorporates federal law and adds state-specific provisions, but state claims that duplicate or conflict with federal duties may remain preemption-sensitive.</w:t>
      </w:r>
    </w:p>
    <w:p w14:paraId="4E3D232F" w14:textId="77777777" w:rsidR="00964317" w:rsidRPr="00566B6A" w:rsidRDefault="00964317">
      <w:pPr>
        <w:spacing w:after="60"/>
        <w:rPr>
          <w:rFonts w:ascii="Courier New" w:hAnsi="Courier New" w:cs="Courier New"/>
          <w:sz w:val="22"/>
        </w:rPr>
      </w:pPr>
    </w:p>
    <w:p w14:paraId="6FF22A4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Preemption Risk Map</w:t>
      </w:r>
    </w:p>
    <w:tbl>
      <w:tblPr>
        <w:tblStyle w:val="TableGrid"/>
        <w:tblW w:w="0" w:type="auto"/>
        <w:jc w:val="center"/>
        <w:tblLayout w:type="fixed"/>
        <w:tblLook w:val="04A0" w:firstRow="1" w:lastRow="0" w:firstColumn="1" w:lastColumn="0" w:noHBand="0" w:noVBand="1"/>
      </w:tblPr>
      <w:tblGrid>
        <w:gridCol w:w="2232"/>
        <w:gridCol w:w="3096"/>
        <w:gridCol w:w="1080"/>
        <w:gridCol w:w="1224"/>
        <w:gridCol w:w="6768"/>
      </w:tblGrid>
      <w:tr w:rsidR="00756B19" w:rsidRPr="00566B6A" w14:paraId="6C279385" w14:textId="77777777">
        <w:trPr>
          <w:cantSplit/>
          <w:tblHeader/>
          <w:jc w:val="center"/>
        </w:trPr>
        <w:tc>
          <w:tcPr>
            <w:tcW w:w="2232" w:type="dxa"/>
            <w:shd w:val="clear" w:color="auto" w:fill="D9EAF7"/>
            <w:tcMar>
              <w:top w:w="55" w:type="dxa"/>
              <w:left w:w="55" w:type="dxa"/>
              <w:bottom w:w="55" w:type="dxa"/>
              <w:right w:w="55" w:type="dxa"/>
            </w:tcMar>
            <w:vAlign w:val="center"/>
          </w:tcPr>
          <w:p w14:paraId="384D575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Claim / Topic</w:t>
            </w:r>
          </w:p>
        </w:tc>
        <w:tc>
          <w:tcPr>
            <w:tcW w:w="3096" w:type="dxa"/>
            <w:shd w:val="clear" w:color="auto" w:fill="D9EAF7"/>
            <w:tcMar>
              <w:top w:w="55" w:type="dxa"/>
              <w:left w:w="55" w:type="dxa"/>
              <w:bottom w:w="55" w:type="dxa"/>
              <w:right w:w="55" w:type="dxa"/>
            </w:tcMar>
            <w:vAlign w:val="center"/>
          </w:tcPr>
          <w:p w14:paraId="0A1D55A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Maine Authority</w:t>
            </w:r>
          </w:p>
        </w:tc>
        <w:tc>
          <w:tcPr>
            <w:tcW w:w="1080" w:type="dxa"/>
            <w:shd w:val="clear" w:color="auto" w:fill="D9EAF7"/>
            <w:tcMar>
              <w:top w:w="55" w:type="dxa"/>
              <w:left w:w="55" w:type="dxa"/>
              <w:bottom w:w="55" w:type="dxa"/>
              <w:right w:w="55" w:type="dxa"/>
            </w:tcMar>
            <w:vAlign w:val="center"/>
          </w:tcPr>
          <w:p w14:paraId="226B39A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w:t>
            </w:r>
            <w:r w:rsidRPr="00566B6A">
              <w:rPr>
                <w:rFonts w:ascii="Courier New" w:hAnsi="Courier New" w:cs="Courier New"/>
                <w:b/>
                <w:sz w:val="22"/>
              </w:rPr>
              <w:br/>
              <w:t>Overlap</w:t>
            </w:r>
          </w:p>
        </w:tc>
        <w:tc>
          <w:tcPr>
            <w:tcW w:w="1224" w:type="dxa"/>
            <w:shd w:val="clear" w:color="auto" w:fill="D9EAF7"/>
            <w:tcMar>
              <w:top w:w="55" w:type="dxa"/>
              <w:left w:w="55" w:type="dxa"/>
              <w:bottom w:w="55" w:type="dxa"/>
              <w:right w:w="55" w:type="dxa"/>
            </w:tcMar>
            <w:vAlign w:val="center"/>
          </w:tcPr>
          <w:p w14:paraId="068FF45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Preemption</w:t>
            </w:r>
            <w:r w:rsidRPr="00566B6A">
              <w:rPr>
                <w:rFonts w:ascii="Courier New" w:hAnsi="Courier New" w:cs="Courier New"/>
                <w:b/>
                <w:sz w:val="22"/>
              </w:rPr>
              <w:br/>
              <w:t>Risk</w:t>
            </w:r>
          </w:p>
        </w:tc>
        <w:tc>
          <w:tcPr>
            <w:tcW w:w="6768" w:type="dxa"/>
            <w:shd w:val="clear" w:color="auto" w:fill="D9EAF7"/>
            <w:tcMar>
              <w:top w:w="55" w:type="dxa"/>
              <w:left w:w="55" w:type="dxa"/>
              <w:bottom w:w="55" w:type="dxa"/>
              <w:right w:w="55" w:type="dxa"/>
            </w:tcMar>
            <w:vAlign w:val="center"/>
          </w:tcPr>
          <w:p w14:paraId="5B9E8A2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Procedural Framing</w:t>
            </w:r>
          </w:p>
        </w:tc>
      </w:tr>
      <w:tr w:rsidR="00756B19" w:rsidRPr="00566B6A" w14:paraId="755995F8" w14:textId="77777777">
        <w:trPr>
          <w:cantSplit/>
          <w:jc w:val="center"/>
        </w:trPr>
        <w:tc>
          <w:tcPr>
            <w:tcW w:w="2232" w:type="dxa"/>
            <w:tcMar>
              <w:top w:w="50" w:type="dxa"/>
              <w:left w:w="55" w:type="dxa"/>
              <w:bottom w:w="50" w:type="dxa"/>
              <w:right w:w="55" w:type="dxa"/>
            </w:tcMar>
          </w:tcPr>
          <w:p w14:paraId="455357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accuracy /</w:t>
            </w:r>
            <w:r w:rsidRPr="00566B6A">
              <w:rPr>
                <w:rFonts w:ascii="Courier New" w:hAnsi="Courier New" w:cs="Courier New"/>
                <w:sz w:val="22"/>
              </w:rPr>
              <w:br/>
              <w:t>reinvestigation</w:t>
            </w:r>
          </w:p>
        </w:tc>
        <w:tc>
          <w:tcPr>
            <w:tcW w:w="3096" w:type="dxa"/>
            <w:tcMar>
              <w:top w:w="50" w:type="dxa"/>
              <w:left w:w="55" w:type="dxa"/>
              <w:bottom w:w="50" w:type="dxa"/>
              <w:right w:w="55" w:type="dxa"/>
            </w:tcMar>
          </w:tcPr>
          <w:p w14:paraId="295DBD2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10 M.R.S. §§ 1309–1310-H; federal FCRA</w:t>
            </w:r>
          </w:p>
        </w:tc>
        <w:tc>
          <w:tcPr>
            <w:tcW w:w="1080" w:type="dxa"/>
            <w:tcMar>
              <w:top w:w="50" w:type="dxa"/>
              <w:left w:w="55" w:type="dxa"/>
              <w:bottom w:w="50" w:type="dxa"/>
              <w:right w:w="55" w:type="dxa"/>
            </w:tcMar>
          </w:tcPr>
          <w:p w14:paraId="0C2D75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tcMar>
              <w:top w:w="50" w:type="dxa"/>
              <w:left w:w="55" w:type="dxa"/>
              <w:bottom w:w="50" w:type="dxa"/>
              <w:right w:w="55" w:type="dxa"/>
            </w:tcMar>
          </w:tcPr>
          <w:p w14:paraId="470759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tcMar>
              <w:top w:w="50" w:type="dxa"/>
              <w:left w:w="55" w:type="dxa"/>
              <w:bottom w:w="50" w:type="dxa"/>
              <w:right w:w="55" w:type="dxa"/>
            </w:tcMar>
          </w:tcPr>
          <w:p w14:paraId="7FF858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the FCRA dispute and method-of-verification record; evaluate any Maine reporting theory separately for express and conflict preemption.</w:t>
            </w:r>
          </w:p>
        </w:tc>
      </w:tr>
      <w:tr w:rsidR="00756B19" w:rsidRPr="00566B6A" w14:paraId="4F4323B2" w14:textId="77777777">
        <w:trPr>
          <w:cantSplit/>
          <w:jc w:val="center"/>
        </w:trPr>
        <w:tc>
          <w:tcPr>
            <w:tcW w:w="2232" w:type="dxa"/>
            <w:shd w:val="clear" w:color="auto" w:fill="F7FAFC"/>
            <w:tcMar>
              <w:top w:w="50" w:type="dxa"/>
              <w:left w:w="55" w:type="dxa"/>
              <w:bottom w:w="50" w:type="dxa"/>
              <w:right w:w="55" w:type="dxa"/>
            </w:tcMar>
          </w:tcPr>
          <w:p w14:paraId="08DB3CE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w:t>
            </w:r>
            <w:r w:rsidRPr="00566B6A">
              <w:rPr>
                <w:rFonts w:ascii="Courier New" w:hAnsi="Courier New" w:cs="Courier New"/>
                <w:sz w:val="22"/>
              </w:rPr>
              <w:br/>
              <w:t>reporting duties</w:t>
            </w:r>
          </w:p>
        </w:tc>
        <w:tc>
          <w:tcPr>
            <w:tcW w:w="3096" w:type="dxa"/>
            <w:shd w:val="clear" w:color="auto" w:fill="F7FAFC"/>
            <w:tcMar>
              <w:top w:w="50" w:type="dxa"/>
              <w:left w:w="55" w:type="dxa"/>
              <w:bottom w:w="50" w:type="dxa"/>
              <w:right w:w="55" w:type="dxa"/>
            </w:tcMar>
          </w:tcPr>
          <w:p w14:paraId="5DBC8D2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FCRA; Maine law evaluated only for distinct conduct</w:t>
            </w:r>
          </w:p>
        </w:tc>
        <w:tc>
          <w:tcPr>
            <w:tcW w:w="1080" w:type="dxa"/>
            <w:shd w:val="clear" w:color="auto" w:fill="F7FAFC"/>
            <w:tcMar>
              <w:top w:w="50" w:type="dxa"/>
              <w:left w:w="55" w:type="dxa"/>
              <w:bottom w:w="50" w:type="dxa"/>
              <w:right w:w="55" w:type="dxa"/>
            </w:tcMar>
          </w:tcPr>
          <w:p w14:paraId="25813C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shd w:val="clear" w:color="auto" w:fill="F7FAFC"/>
            <w:tcMar>
              <w:top w:w="50" w:type="dxa"/>
              <w:left w:w="55" w:type="dxa"/>
              <w:bottom w:w="50" w:type="dxa"/>
              <w:right w:w="55" w:type="dxa"/>
            </w:tcMar>
          </w:tcPr>
          <w:p w14:paraId="69F757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shd w:val="clear" w:color="auto" w:fill="F7FAFC"/>
            <w:tcMar>
              <w:top w:w="50" w:type="dxa"/>
              <w:left w:w="55" w:type="dxa"/>
              <w:bottom w:w="50" w:type="dxa"/>
              <w:right w:w="55" w:type="dxa"/>
            </w:tcMar>
          </w:tcPr>
          <w:p w14:paraId="50D3251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the 15 U.S.C. § 1681s-2 framework and bureau-dispute notice trail.</w:t>
            </w:r>
          </w:p>
        </w:tc>
      </w:tr>
      <w:tr w:rsidR="00756B19" w:rsidRPr="00566B6A" w14:paraId="7CEFD54B" w14:textId="77777777">
        <w:trPr>
          <w:cantSplit/>
          <w:jc w:val="center"/>
        </w:trPr>
        <w:tc>
          <w:tcPr>
            <w:tcW w:w="2232" w:type="dxa"/>
            <w:tcMar>
              <w:top w:w="50" w:type="dxa"/>
              <w:left w:w="55" w:type="dxa"/>
              <w:bottom w:w="50" w:type="dxa"/>
              <w:right w:w="55" w:type="dxa"/>
            </w:tcMar>
          </w:tcPr>
          <w:p w14:paraId="5DBD47E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w:t>
            </w:r>
            <w:r w:rsidRPr="00566B6A">
              <w:rPr>
                <w:rFonts w:ascii="Courier New" w:hAnsi="Courier New" w:cs="Courier New"/>
                <w:sz w:val="22"/>
              </w:rPr>
              <w:br/>
              <w:t>blocking</w:t>
            </w:r>
          </w:p>
        </w:tc>
        <w:tc>
          <w:tcPr>
            <w:tcW w:w="3096" w:type="dxa"/>
            <w:tcMar>
              <w:top w:w="50" w:type="dxa"/>
              <w:left w:w="55" w:type="dxa"/>
              <w:bottom w:w="50" w:type="dxa"/>
              <w:right w:w="55" w:type="dxa"/>
            </w:tcMar>
          </w:tcPr>
          <w:p w14:paraId="417CDD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17-A M.R.S. § 905-A; 10 M.R.S. § 1350-B; federal FCRA</w:t>
            </w:r>
          </w:p>
        </w:tc>
        <w:tc>
          <w:tcPr>
            <w:tcW w:w="1080" w:type="dxa"/>
            <w:tcMar>
              <w:top w:w="50" w:type="dxa"/>
              <w:left w:w="55" w:type="dxa"/>
              <w:bottom w:w="50" w:type="dxa"/>
              <w:right w:w="55" w:type="dxa"/>
            </w:tcMar>
          </w:tcPr>
          <w:p w14:paraId="6E4C92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0AAEC3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6D875C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police/FTC reports, exact disputed identifiers, Maine freeze records, and federal blocking requests.</w:t>
            </w:r>
          </w:p>
        </w:tc>
      </w:tr>
      <w:tr w:rsidR="00756B19" w:rsidRPr="00566B6A" w14:paraId="3C0A2B33" w14:textId="77777777">
        <w:trPr>
          <w:cantSplit/>
          <w:jc w:val="center"/>
        </w:trPr>
        <w:tc>
          <w:tcPr>
            <w:tcW w:w="2232" w:type="dxa"/>
            <w:shd w:val="clear" w:color="auto" w:fill="F7FAFC"/>
            <w:tcMar>
              <w:top w:w="50" w:type="dxa"/>
              <w:left w:w="55" w:type="dxa"/>
              <w:bottom w:w="50" w:type="dxa"/>
              <w:right w:w="55" w:type="dxa"/>
            </w:tcMar>
          </w:tcPr>
          <w:p w14:paraId="17D6995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Deceptive</w:t>
            </w:r>
            <w:r w:rsidRPr="00566B6A">
              <w:rPr>
                <w:rFonts w:ascii="Courier New" w:hAnsi="Courier New" w:cs="Courier New"/>
                <w:sz w:val="22"/>
              </w:rPr>
              <w:br/>
              <w:t>collection</w:t>
            </w:r>
            <w:r w:rsidRPr="00566B6A">
              <w:rPr>
                <w:rFonts w:ascii="Courier New" w:hAnsi="Courier New" w:cs="Courier New"/>
                <w:sz w:val="22"/>
              </w:rPr>
              <w:br/>
              <w:t>conduct</w:t>
            </w:r>
          </w:p>
        </w:tc>
        <w:tc>
          <w:tcPr>
            <w:tcW w:w="3096" w:type="dxa"/>
            <w:shd w:val="clear" w:color="auto" w:fill="F7FAFC"/>
            <w:tcMar>
              <w:top w:w="50" w:type="dxa"/>
              <w:left w:w="55" w:type="dxa"/>
              <w:bottom w:w="50" w:type="dxa"/>
              <w:right w:w="55" w:type="dxa"/>
            </w:tcMar>
          </w:tcPr>
          <w:p w14:paraId="1EC5FC5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32 M.R.S. §§ 11001–11054; federal FDCPA</w:t>
            </w:r>
          </w:p>
        </w:tc>
        <w:tc>
          <w:tcPr>
            <w:tcW w:w="1080" w:type="dxa"/>
            <w:shd w:val="clear" w:color="auto" w:fill="F7FAFC"/>
            <w:tcMar>
              <w:top w:w="50" w:type="dxa"/>
              <w:left w:w="55" w:type="dxa"/>
              <w:bottom w:w="50" w:type="dxa"/>
              <w:right w:w="55" w:type="dxa"/>
            </w:tcMar>
          </w:tcPr>
          <w:p w14:paraId="2C6D9B7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03F247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00BF0AB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communications, validation requests, collector identity, licensing records, collection filings, and the one-year claim deadline.</w:t>
            </w:r>
          </w:p>
        </w:tc>
      </w:tr>
      <w:tr w:rsidR="00756B19" w:rsidRPr="00566B6A" w14:paraId="6C632A57" w14:textId="77777777">
        <w:trPr>
          <w:cantSplit/>
          <w:jc w:val="center"/>
        </w:trPr>
        <w:tc>
          <w:tcPr>
            <w:tcW w:w="2232" w:type="dxa"/>
            <w:tcMar>
              <w:top w:w="50" w:type="dxa"/>
              <w:left w:w="55" w:type="dxa"/>
              <w:bottom w:w="50" w:type="dxa"/>
              <w:right w:w="55" w:type="dxa"/>
            </w:tcMar>
          </w:tcPr>
          <w:p w14:paraId="6D2829E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Security-freeze</w:t>
            </w:r>
            <w:r w:rsidRPr="00566B6A">
              <w:rPr>
                <w:rFonts w:ascii="Courier New" w:hAnsi="Courier New" w:cs="Courier New"/>
                <w:sz w:val="22"/>
              </w:rPr>
              <w:br/>
              <w:t>violations</w:t>
            </w:r>
          </w:p>
        </w:tc>
        <w:tc>
          <w:tcPr>
            <w:tcW w:w="3096" w:type="dxa"/>
            <w:tcMar>
              <w:top w:w="50" w:type="dxa"/>
              <w:left w:w="55" w:type="dxa"/>
              <w:bottom w:w="50" w:type="dxa"/>
              <w:right w:w="55" w:type="dxa"/>
            </w:tcMar>
          </w:tcPr>
          <w:p w14:paraId="38DB86B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10 M.R.S. § 1310</w:t>
            </w:r>
          </w:p>
        </w:tc>
        <w:tc>
          <w:tcPr>
            <w:tcW w:w="1080" w:type="dxa"/>
            <w:tcMar>
              <w:top w:w="50" w:type="dxa"/>
              <w:left w:w="55" w:type="dxa"/>
              <w:bottom w:w="50" w:type="dxa"/>
              <w:right w:w="55" w:type="dxa"/>
            </w:tcMar>
          </w:tcPr>
          <w:p w14:paraId="58CAE1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7A4499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tcMar>
              <w:top w:w="50" w:type="dxa"/>
              <w:left w:w="55" w:type="dxa"/>
              <w:bottom w:w="50" w:type="dxa"/>
              <w:right w:w="55" w:type="dxa"/>
            </w:tcMar>
          </w:tcPr>
          <w:p w14:paraId="34BA5B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freeze confirmation, release history, authorization record, correction request, and resulting damages.</w:t>
            </w:r>
          </w:p>
        </w:tc>
      </w:tr>
      <w:tr w:rsidR="00756B19" w:rsidRPr="00566B6A" w14:paraId="3F8E56BF" w14:textId="77777777">
        <w:trPr>
          <w:cantSplit/>
          <w:jc w:val="center"/>
        </w:trPr>
        <w:tc>
          <w:tcPr>
            <w:tcW w:w="2232" w:type="dxa"/>
            <w:shd w:val="clear" w:color="auto" w:fill="F7FAFC"/>
            <w:tcMar>
              <w:top w:w="50" w:type="dxa"/>
              <w:left w:w="55" w:type="dxa"/>
              <w:bottom w:w="50" w:type="dxa"/>
              <w:right w:w="55" w:type="dxa"/>
            </w:tcMar>
          </w:tcPr>
          <w:p w14:paraId="335C2B8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Data breach /</w:t>
            </w:r>
            <w:r w:rsidRPr="00566B6A">
              <w:rPr>
                <w:rFonts w:ascii="Courier New" w:hAnsi="Courier New" w:cs="Courier New"/>
                <w:sz w:val="22"/>
              </w:rPr>
              <w:br/>
              <w:t>privacy</w:t>
            </w:r>
          </w:p>
        </w:tc>
        <w:tc>
          <w:tcPr>
            <w:tcW w:w="3096" w:type="dxa"/>
            <w:shd w:val="clear" w:color="auto" w:fill="F7FAFC"/>
            <w:tcMar>
              <w:top w:w="50" w:type="dxa"/>
              <w:left w:w="55" w:type="dxa"/>
              <w:bottom w:w="50" w:type="dxa"/>
              <w:right w:w="55" w:type="dxa"/>
            </w:tcMar>
          </w:tcPr>
          <w:p w14:paraId="71FE2D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10 M.R.S. §§ 1347–1350-B</w:t>
            </w:r>
          </w:p>
        </w:tc>
        <w:tc>
          <w:tcPr>
            <w:tcW w:w="1080" w:type="dxa"/>
            <w:shd w:val="clear" w:color="auto" w:fill="F7FAFC"/>
            <w:tcMar>
              <w:top w:w="50" w:type="dxa"/>
              <w:left w:w="55" w:type="dxa"/>
              <w:bottom w:w="50" w:type="dxa"/>
              <w:right w:w="55" w:type="dxa"/>
            </w:tcMar>
          </w:tcPr>
          <w:p w14:paraId="3F289E8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1456676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51C9A3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Keep breach notice, scope, data elements, dates, regulator notice, investigation findings, and remediation record.</w:t>
            </w:r>
          </w:p>
        </w:tc>
      </w:tr>
      <w:tr w:rsidR="00756B19" w:rsidRPr="00566B6A" w14:paraId="08555920" w14:textId="77777777">
        <w:trPr>
          <w:cantSplit/>
          <w:jc w:val="center"/>
        </w:trPr>
        <w:tc>
          <w:tcPr>
            <w:tcW w:w="2232" w:type="dxa"/>
            <w:tcMar>
              <w:top w:w="50" w:type="dxa"/>
              <w:left w:w="55" w:type="dxa"/>
              <w:bottom w:w="50" w:type="dxa"/>
              <w:right w:w="55" w:type="dxa"/>
            </w:tcMar>
          </w:tcPr>
          <w:p w14:paraId="52A2BD4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UDAP deceptive</w:t>
            </w:r>
            <w:r w:rsidRPr="00566B6A">
              <w:rPr>
                <w:rFonts w:ascii="Courier New" w:hAnsi="Courier New" w:cs="Courier New"/>
                <w:sz w:val="22"/>
              </w:rPr>
              <w:br/>
              <w:t>practices</w:t>
            </w:r>
          </w:p>
        </w:tc>
        <w:tc>
          <w:tcPr>
            <w:tcW w:w="3096" w:type="dxa"/>
            <w:tcMar>
              <w:top w:w="50" w:type="dxa"/>
              <w:left w:w="55" w:type="dxa"/>
              <w:bottom w:w="50" w:type="dxa"/>
              <w:right w:w="55" w:type="dxa"/>
            </w:tcMar>
          </w:tcPr>
          <w:p w14:paraId="4844D3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5 M.R.S. §§ 205-A–214</w:t>
            </w:r>
          </w:p>
        </w:tc>
        <w:tc>
          <w:tcPr>
            <w:tcW w:w="1080" w:type="dxa"/>
            <w:tcMar>
              <w:top w:w="50" w:type="dxa"/>
              <w:left w:w="55" w:type="dxa"/>
              <w:bottom w:w="50" w:type="dxa"/>
              <w:right w:w="55" w:type="dxa"/>
            </w:tcMar>
          </w:tcPr>
          <w:p w14:paraId="1369BC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tcMar>
              <w:top w:w="50" w:type="dxa"/>
              <w:left w:w="55" w:type="dxa"/>
              <w:bottom w:w="50" w:type="dxa"/>
              <w:right w:w="55" w:type="dxa"/>
            </w:tcMar>
          </w:tcPr>
          <w:p w14:paraId="5A73802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1C085FF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Frame a distinct consumer transaction, loss of money or property, unfairness or deception, 30-day demand, and six-year timing record.</w:t>
            </w:r>
          </w:p>
        </w:tc>
      </w:tr>
    </w:tbl>
    <w:p w14:paraId="4D48D96C" w14:textId="77777777" w:rsidR="00756B19" w:rsidRPr="00566B6A" w:rsidRDefault="00756B19">
      <w:pPr>
        <w:spacing w:after="20"/>
        <w:rPr>
          <w:rFonts w:ascii="Courier New" w:hAnsi="Courier New" w:cs="Courier New"/>
          <w:sz w:val="22"/>
        </w:rPr>
      </w:pPr>
    </w:p>
    <w:p w14:paraId="7EC9D1E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Safer zones (generally): misuse-of-identification conduct, distinct debt-collection communications, security-freeze violations, breach-notification duties, and Maine UTPA consumer-transaction deception that is factually distinct from CRA or furnisher reporting obligations.</w:t>
      </w:r>
    </w:p>
    <w:p w14:paraId="1F87A587"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Risky zones (generally): Maine claims that attempt to impose accuracy, reinvestigation, dispute-processing, or furnishing duties parallel to or inconsistent with the federal FCRA.</w:t>
      </w:r>
    </w:p>
    <w:p w14:paraId="31E5EE81"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No legal conclusions or outcome predictions are provided.</w:t>
      </w:r>
    </w:p>
    <w:p w14:paraId="5CFBA91F"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D — STATE-FIRST FACT-FINDING STRATEGY (IMPLEMENTATION PLAYBOOK)</w:t>
      </w:r>
    </w:p>
    <w:p w14:paraId="3D93F76F"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1 — </w:t>
      </w:r>
      <w:r w:rsidRPr="00566B6A">
        <w:rPr>
          <w:rFonts w:ascii="Courier New" w:hAnsi="Courier New" w:cs="Courier New"/>
          <w:sz w:val="22"/>
        </w:rPr>
        <w:t>Review credit reports for inaccuracies line-by-line against the bureau PDFs.</w:t>
      </w:r>
    </w:p>
    <w:p w14:paraId="708829C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2 — </w:t>
      </w:r>
      <w:r w:rsidRPr="00566B6A">
        <w:rPr>
          <w:rFonts w:ascii="Courier New" w:hAnsi="Courier New" w:cs="Courier New"/>
          <w:sz w:val="22"/>
        </w:rPr>
        <w:t>Submit written CRA and furnisher disputes with proof of service, using certified mail or verifiable electronic proof.</w:t>
      </w:r>
    </w:p>
    <w:p w14:paraId="32B68F1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3 — </w:t>
      </w:r>
      <w:r w:rsidRPr="00566B6A">
        <w:rPr>
          <w:rFonts w:ascii="Courier New" w:hAnsi="Courier New" w:cs="Courier New"/>
          <w:sz w:val="22"/>
        </w:rPr>
        <w:t>Request and preserve the contract, ledger, date-of-first-delinquency support, ownership chain, inquiry logs, and account-level data.</w:t>
      </w:r>
    </w:p>
    <w:p w14:paraId="209BD48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4 — </w:t>
      </w:r>
      <w:r w:rsidRPr="00566B6A">
        <w:rPr>
          <w:rFonts w:ascii="Courier New" w:hAnsi="Courier New" w:cs="Courier New"/>
          <w:sz w:val="22"/>
        </w:rPr>
        <w:t>Submit a method-of-verification or verification-description request under 15 U.S.C. § 1681i(a)(6), where applicable.</w:t>
      </w:r>
    </w:p>
    <w:p w14:paraId="1533EB0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Step 5 — File a Maine complaint with the Attorney General’s Consumer Protection Division or the Bureau of Consumer Credit Protection as the subject and agency jurisdiction require; retain confirmation numbers.</w:t>
      </w:r>
    </w:p>
    <w:p w14:paraId="03CB10D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6 — </w:t>
      </w:r>
      <w:r w:rsidRPr="00566B6A">
        <w:rPr>
          <w:rFonts w:ascii="Courier New" w:hAnsi="Courier New" w:cs="Courier New"/>
          <w:sz w:val="22"/>
        </w:rPr>
        <w:t>Preserve agency responses and index all events chronologically.</w:t>
      </w:r>
    </w:p>
    <w:p w14:paraId="205166D7"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7 — </w:t>
      </w:r>
      <w:r w:rsidRPr="00566B6A">
        <w:rPr>
          <w:rFonts w:ascii="Courier New" w:hAnsi="Courier New" w:cs="Courier New"/>
          <w:sz w:val="22"/>
        </w:rPr>
        <w:t>Escalate unresolved federal issues to the CFPB or FTC after state intake, where appropriate.</w:t>
      </w:r>
    </w:p>
    <w:p w14:paraId="6DE30711" w14:textId="77777777" w:rsidR="00756B19" w:rsidRDefault="00F247EE">
      <w:pPr>
        <w:ind w:left="72"/>
        <w:rPr>
          <w:rFonts w:ascii="Courier New" w:hAnsi="Courier New" w:cs="Courier New"/>
          <w:sz w:val="22"/>
        </w:rPr>
      </w:pPr>
      <w:r w:rsidRPr="00566B6A">
        <w:rPr>
          <w:rFonts w:ascii="Courier New" w:hAnsi="Courier New" w:cs="Courier New"/>
          <w:b/>
          <w:sz w:val="22"/>
        </w:rPr>
        <w:t xml:space="preserve">Step 8 — </w:t>
      </w:r>
      <w:r w:rsidRPr="00566B6A">
        <w:rPr>
          <w:rFonts w:ascii="Courier New" w:hAnsi="Courier New" w:cs="Courier New"/>
          <w:sz w:val="22"/>
        </w:rPr>
        <w:t>Maintain an evidence index with exhibit labels (A-1, A-2, …).</w:t>
      </w:r>
    </w:p>
    <w:p w14:paraId="116CE4F4" w14:textId="77777777" w:rsidR="00964317" w:rsidRPr="00566B6A" w:rsidRDefault="00964317">
      <w:pPr>
        <w:ind w:left="72"/>
        <w:rPr>
          <w:rFonts w:ascii="Courier New" w:hAnsi="Courier New" w:cs="Courier New"/>
          <w:sz w:val="22"/>
        </w:rPr>
      </w:pPr>
    </w:p>
    <w:p w14:paraId="39930386" w14:textId="77777777" w:rsidR="00756B19" w:rsidRDefault="00F247EE">
      <w:pPr>
        <w:pStyle w:val="Heading2"/>
        <w:spacing w:before="100" w:after="40"/>
        <w:rPr>
          <w:rFonts w:ascii="Courier New" w:eastAsia="Arial" w:hAnsi="Courier New" w:cs="Courier New"/>
          <w:color w:val="auto"/>
          <w:sz w:val="22"/>
          <w:szCs w:val="22"/>
        </w:rPr>
      </w:pPr>
      <w:r w:rsidRPr="00566B6A">
        <w:rPr>
          <w:rFonts w:ascii="Courier New" w:eastAsia="Arial" w:hAnsi="Courier New" w:cs="Courier New"/>
          <w:color w:val="auto"/>
          <w:sz w:val="22"/>
          <w:szCs w:val="22"/>
        </w:rPr>
        <w:lastRenderedPageBreak/>
        <w:t>STATE Record → FCRA Element Mapping (Educational)</w:t>
      </w:r>
    </w:p>
    <w:p w14:paraId="7AD968F4" w14:textId="77777777" w:rsidR="00964317" w:rsidRPr="00964317" w:rsidRDefault="00964317" w:rsidP="00964317"/>
    <w:tbl>
      <w:tblPr>
        <w:tblStyle w:val="TableGrid"/>
        <w:tblW w:w="0" w:type="auto"/>
        <w:jc w:val="center"/>
        <w:tblLayout w:type="fixed"/>
        <w:tblLook w:val="04A0" w:firstRow="1" w:lastRow="0" w:firstColumn="1" w:lastColumn="0" w:noHBand="0" w:noVBand="1"/>
      </w:tblPr>
      <w:tblGrid>
        <w:gridCol w:w="6048"/>
        <w:gridCol w:w="8352"/>
      </w:tblGrid>
      <w:tr w:rsidR="00756B19" w:rsidRPr="00566B6A" w14:paraId="23D1468C" w14:textId="77777777">
        <w:trPr>
          <w:cantSplit/>
          <w:tblHeader/>
          <w:jc w:val="center"/>
        </w:trPr>
        <w:tc>
          <w:tcPr>
            <w:tcW w:w="6048" w:type="dxa"/>
            <w:shd w:val="clear" w:color="auto" w:fill="D9EAF7"/>
            <w:tcMar>
              <w:top w:w="55" w:type="dxa"/>
              <w:left w:w="55" w:type="dxa"/>
              <w:bottom w:w="55" w:type="dxa"/>
              <w:right w:w="55" w:type="dxa"/>
            </w:tcMar>
            <w:vAlign w:val="center"/>
          </w:tcPr>
          <w:p w14:paraId="57FAF85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Administrative Record Item</w:t>
            </w:r>
          </w:p>
        </w:tc>
        <w:tc>
          <w:tcPr>
            <w:tcW w:w="8352" w:type="dxa"/>
            <w:shd w:val="clear" w:color="auto" w:fill="D9EAF7"/>
            <w:tcMar>
              <w:top w:w="55" w:type="dxa"/>
              <w:left w:w="55" w:type="dxa"/>
              <w:bottom w:w="55" w:type="dxa"/>
              <w:right w:w="55" w:type="dxa"/>
            </w:tcMar>
            <w:vAlign w:val="center"/>
          </w:tcPr>
          <w:p w14:paraId="5215A7C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 State-Law Element Supported</w:t>
            </w:r>
          </w:p>
        </w:tc>
      </w:tr>
      <w:tr w:rsidR="00756B19" w:rsidRPr="00566B6A" w14:paraId="67E5BD99" w14:textId="77777777">
        <w:trPr>
          <w:cantSplit/>
          <w:jc w:val="center"/>
        </w:trPr>
        <w:tc>
          <w:tcPr>
            <w:tcW w:w="6048" w:type="dxa"/>
            <w:tcMar>
              <w:top w:w="50" w:type="dxa"/>
              <w:left w:w="55" w:type="dxa"/>
              <w:bottom w:w="50" w:type="dxa"/>
              <w:right w:w="55" w:type="dxa"/>
            </w:tcMar>
          </w:tcPr>
          <w:p w14:paraId="2E8C1B8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Dated dispute + proof of service</w:t>
            </w:r>
          </w:p>
        </w:tc>
        <w:tc>
          <w:tcPr>
            <w:tcW w:w="8352" w:type="dxa"/>
            <w:tcMar>
              <w:top w:w="50" w:type="dxa"/>
              <w:left w:w="55" w:type="dxa"/>
              <w:bottom w:w="50" w:type="dxa"/>
              <w:right w:w="55" w:type="dxa"/>
            </w:tcMar>
          </w:tcPr>
          <w:p w14:paraId="5008425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dispute initiation</w:t>
            </w:r>
          </w:p>
        </w:tc>
      </w:tr>
      <w:tr w:rsidR="00756B19" w:rsidRPr="00566B6A" w14:paraId="55F078A6" w14:textId="77777777">
        <w:trPr>
          <w:cantSplit/>
          <w:jc w:val="center"/>
        </w:trPr>
        <w:tc>
          <w:tcPr>
            <w:tcW w:w="6048" w:type="dxa"/>
            <w:shd w:val="clear" w:color="auto" w:fill="F7FAFC"/>
            <w:tcMar>
              <w:top w:w="50" w:type="dxa"/>
              <w:left w:w="55" w:type="dxa"/>
              <w:bottom w:w="50" w:type="dxa"/>
              <w:right w:w="55" w:type="dxa"/>
            </w:tcMar>
          </w:tcPr>
          <w:p w14:paraId="73A7870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response + method-of-verification disclosure</w:t>
            </w:r>
          </w:p>
        </w:tc>
        <w:tc>
          <w:tcPr>
            <w:tcW w:w="8352" w:type="dxa"/>
            <w:shd w:val="clear" w:color="auto" w:fill="F7FAFC"/>
            <w:tcMar>
              <w:top w:w="50" w:type="dxa"/>
              <w:left w:w="55" w:type="dxa"/>
              <w:bottom w:w="50" w:type="dxa"/>
              <w:right w:w="55" w:type="dxa"/>
            </w:tcMar>
          </w:tcPr>
          <w:p w14:paraId="7CF4C9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Reasonableness and procedure transparency</w:t>
            </w:r>
          </w:p>
        </w:tc>
      </w:tr>
      <w:tr w:rsidR="00756B19" w:rsidRPr="00566B6A" w14:paraId="123FB0A1" w14:textId="77777777">
        <w:trPr>
          <w:cantSplit/>
          <w:jc w:val="center"/>
        </w:trPr>
        <w:tc>
          <w:tcPr>
            <w:tcW w:w="6048" w:type="dxa"/>
            <w:tcMar>
              <w:top w:w="50" w:type="dxa"/>
              <w:left w:w="55" w:type="dxa"/>
              <w:bottom w:w="50" w:type="dxa"/>
              <w:right w:w="55" w:type="dxa"/>
            </w:tcMar>
          </w:tcPr>
          <w:p w14:paraId="05516B0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silence or generic verification</w:t>
            </w:r>
          </w:p>
        </w:tc>
        <w:tc>
          <w:tcPr>
            <w:tcW w:w="8352" w:type="dxa"/>
            <w:tcMar>
              <w:top w:w="50" w:type="dxa"/>
              <w:left w:w="55" w:type="dxa"/>
              <w:bottom w:w="50" w:type="dxa"/>
              <w:right w:w="55" w:type="dxa"/>
            </w:tcMar>
          </w:tcPr>
          <w:p w14:paraId="1F837C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Potential deficiency requiring further documentation; no liability conclusion</w:t>
            </w:r>
          </w:p>
        </w:tc>
      </w:tr>
      <w:tr w:rsidR="00756B19" w:rsidRPr="00566B6A" w14:paraId="20BCF233" w14:textId="77777777">
        <w:trPr>
          <w:cantSplit/>
          <w:jc w:val="center"/>
        </w:trPr>
        <w:tc>
          <w:tcPr>
            <w:tcW w:w="6048" w:type="dxa"/>
            <w:shd w:val="clear" w:color="auto" w:fill="F7FAFC"/>
            <w:tcMar>
              <w:top w:w="50" w:type="dxa"/>
              <w:left w:w="55" w:type="dxa"/>
              <w:bottom w:w="50" w:type="dxa"/>
              <w:right w:w="55" w:type="dxa"/>
            </w:tcMar>
          </w:tcPr>
          <w:p w14:paraId="3067C1A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Maine AG / Bureau of Consumer Credit Protection complaint + agency ID</w:t>
            </w:r>
          </w:p>
        </w:tc>
        <w:tc>
          <w:tcPr>
            <w:tcW w:w="8352" w:type="dxa"/>
            <w:shd w:val="clear" w:color="auto" w:fill="F7FAFC"/>
            <w:tcMar>
              <w:top w:w="50" w:type="dxa"/>
              <w:left w:w="55" w:type="dxa"/>
              <w:bottom w:w="50" w:type="dxa"/>
              <w:right w:w="55" w:type="dxa"/>
            </w:tcMar>
          </w:tcPr>
          <w:p w14:paraId="177C906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Chronology, notice, jurisdiction, and administrative record-building</w:t>
            </w:r>
          </w:p>
        </w:tc>
      </w:tr>
      <w:tr w:rsidR="00756B19" w:rsidRPr="00566B6A" w14:paraId="05D5AA94" w14:textId="77777777">
        <w:trPr>
          <w:cantSplit/>
          <w:jc w:val="center"/>
        </w:trPr>
        <w:tc>
          <w:tcPr>
            <w:tcW w:w="6048" w:type="dxa"/>
            <w:tcMar>
              <w:top w:w="50" w:type="dxa"/>
              <w:left w:w="55" w:type="dxa"/>
              <w:bottom w:w="50" w:type="dxa"/>
              <w:right w:w="55" w:type="dxa"/>
            </w:tcMar>
          </w:tcPr>
          <w:p w14:paraId="0BA4512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affidavit + police/FTC report</w:t>
            </w:r>
          </w:p>
        </w:tc>
        <w:tc>
          <w:tcPr>
            <w:tcW w:w="8352" w:type="dxa"/>
            <w:tcMar>
              <w:top w:w="50" w:type="dxa"/>
              <w:left w:w="55" w:type="dxa"/>
              <w:bottom w:w="50" w:type="dxa"/>
              <w:right w:w="55" w:type="dxa"/>
            </w:tcMar>
          </w:tcPr>
          <w:p w14:paraId="39C997E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Blocking, fraud-alert, and identity-restoration procedures</w:t>
            </w:r>
          </w:p>
        </w:tc>
      </w:tr>
      <w:tr w:rsidR="00756B19" w:rsidRPr="00566B6A" w14:paraId="0344971C" w14:textId="77777777">
        <w:trPr>
          <w:cantSplit/>
          <w:jc w:val="center"/>
        </w:trPr>
        <w:tc>
          <w:tcPr>
            <w:tcW w:w="6048" w:type="dxa"/>
            <w:shd w:val="clear" w:color="auto" w:fill="F7FAFC"/>
            <w:tcMar>
              <w:top w:w="50" w:type="dxa"/>
              <w:left w:w="55" w:type="dxa"/>
              <w:bottom w:w="50" w:type="dxa"/>
              <w:right w:w="55" w:type="dxa"/>
            </w:tcMar>
          </w:tcPr>
          <w:p w14:paraId="70FD96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Ledger / date-of-first-delinquency documentation gaps</w:t>
            </w:r>
          </w:p>
        </w:tc>
        <w:tc>
          <w:tcPr>
            <w:tcW w:w="8352" w:type="dxa"/>
            <w:shd w:val="clear" w:color="auto" w:fill="F7FAFC"/>
            <w:tcMar>
              <w:top w:w="50" w:type="dxa"/>
              <w:left w:w="55" w:type="dxa"/>
              <w:bottom w:w="50" w:type="dxa"/>
              <w:right w:w="55" w:type="dxa"/>
            </w:tcMar>
          </w:tcPr>
          <w:p w14:paraId="4B8689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Accuracy and completeness questions</w:t>
            </w:r>
          </w:p>
        </w:tc>
      </w:tr>
      <w:tr w:rsidR="00756B19" w:rsidRPr="00566B6A" w14:paraId="25FBD96C" w14:textId="77777777">
        <w:trPr>
          <w:cantSplit/>
          <w:jc w:val="center"/>
        </w:trPr>
        <w:tc>
          <w:tcPr>
            <w:tcW w:w="6048" w:type="dxa"/>
            <w:tcMar>
              <w:top w:w="50" w:type="dxa"/>
              <w:left w:w="55" w:type="dxa"/>
              <w:bottom w:w="50" w:type="dxa"/>
              <w:right w:w="55" w:type="dxa"/>
            </w:tcMar>
          </w:tcPr>
          <w:p w14:paraId="7965C9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Maine UTPA demand + delivery proof + limitations record</w:t>
            </w:r>
          </w:p>
        </w:tc>
        <w:tc>
          <w:tcPr>
            <w:tcW w:w="8352" w:type="dxa"/>
            <w:tcMar>
              <w:top w:w="50" w:type="dxa"/>
              <w:left w:w="55" w:type="dxa"/>
              <w:bottom w:w="50" w:type="dxa"/>
              <w:right w:w="55" w:type="dxa"/>
            </w:tcMar>
          </w:tcPr>
          <w:p w14:paraId="50ECC2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transaction, loss, pre-suit demand, opportunity to settle, and six-year timing</w:t>
            </w:r>
          </w:p>
        </w:tc>
      </w:tr>
    </w:tbl>
    <w:p w14:paraId="49D0CEDD" w14:textId="77777777" w:rsidR="00756B19" w:rsidRPr="00566B6A" w:rsidRDefault="00756B19">
      <w:pPr>
        <w:spacing w:after="20"/>
        <w:rPr>
          <w:rFonts w:ascii="Courier New" w:hAnsi="Courier New" w:cs="Courier New"/>
          <w:sz w:val="22"/>
        </w:rPr>
      </w:pPr>
    </w:p>
    <w:p w14:paraId="6A9CCAD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E — PROCEDURAL ENFORCEMENT TOOLS (NON-ACCUSATORY)</w:t>
      </w:r>
    </w:p>
    <w:p w14:paraId="1C1DF8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Method-of-verification / verification-description request</w:t>
      </w:r>
    </w:p>
    <w:p w14:paraId="44E5D0C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Permissible-purpose request concerning inquiries and file access</w:t>
      </w:r>
    </w:p>
    <w:p w14:paraId="3F88794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Ledger, balance-validation, and date-of-first-delinquency support request</w:t>
      </w:r>
    </w:p>
    <w:p w14:paraId="71A2729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Liability-classification review: personal obligor, authorized user, guarantor, or business signer</w:t>
      </w:r>
    </w:p>
    <w:p w14:paraId="0012C8C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Identity-integrity review: addresses, aliases, mixed-file indicators, and identity-theft markers</w:t>
      </w:r>
    </w:p>
    <w:p w14:paraId="6BAC22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Maine UTPA written demand for relief at least 30 days before filing a qualifying damages action, with proof of delivery and preservation of the six-year limitations record</w:t>
      </w:r>
    </w:p>
    <w:p w14:paraId="45BCFD2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Collection-agency license and regulator-jurisdiction review</w:t>
      </w:r>
    </w:p>
    <w:p w14:paraId="7E48C90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Findings-rejection protocol when an item is marked “verified” without a disclosed methodology</w:t>
      </w:r>
    </w:p>
    <w:p w14:paraId="49545DF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Emphasize objective evidence.</w:t>
      </w:r>
      <w:r w:rsidRPr="00566B6A">
        <w:rPr>
          <w:rFonts w:ascii="Courier New" w:hAnsi="Courier New" w:cs="Courier New"/>
          <w:sz w:val="22"/>
        </w:rPr>
        <w:t xml:space="preserve"> Avoid accusatory language, unsupported liability conclusions, and assumptions of wrongdoing.</w:t>
      </w:r>
    </w:p>
    <w:p w14:paraId="44A6B450"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F — STATE-SPECIFIC MODULE (AUTO-INJECT, REQUIRED)</w:t>
      </w:r>
    </w:p>
    <w:p w14:paraId="4A602F23"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Maine (ME)</w:t>
      </w:r>
    </w:p>
    <w:p w14:paraId="66FD35E4"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Statutes / Acts</w:t>
      </w:r>
    </w:p>
    <w:p w14:paraId="1B09666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Maine Unfair Trade Practices Act | 5 M.R.S. §§ 205-A through 214 | Remedies: actual damages, restitution, equitable relief, attorney’s fees and costs for qualifying private claims; Attorney General injunctions, restoration, civil penalties, and other authorized relief. | Authority: Maine Attorney General / courts.</w:t>
      </w:r>
    </w:p>
    <w:p w14:paraId="52AAAA4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Maine Fair Debt Collection Practices Act | 32 M.R.S. §§ 11001 through 11054 | Remedies: actual damages, limited additional statutory damages, costs, and attorney’s fees; licensing and administrative remedies. A private action under § 11054 generally must be filed within one year of the violation. | Authority: Bureau of Consumer Credit Protection / courts.</w:t>
      </w:r>
    </w:p>
    <w:p w14:paraId="7853415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Maine Fair Credit Reporting Act | 10 M.R.S. §§ 1306 through 1310-H | Remedies: security-freeze procedures; actual, additional, or treble damages as authorized; costs and attorney’s fees; administrative enforcement. A civil action generally must be filed within two years under § 1310-E. | Authority: Bureau of Consumer Credit Protection / courts.</w:t>
      </w:r>
    </w:p>
    <w:p w14:paraId="2CFF188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Maine Notice of Risk to Personal Data | 10 M.R.S. §§ 1347 through 1350-B | Remedies: regulator or Attorney General enforcement, civil penalties, equitable relief, and injunctions; cumulative federal or state remedies may remain available. | Authority: Department of Professional and Financial Regulation regulators / Maine Attorney General.</w:t>
      </w:r>
    </w:p>
    <w:p w14:paraId="515DA0A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Maine Misuse of Identification and Police-Report Provisions | 17-A M.R.S. § 905-A and 10 M.R.S. § 1350-B | Remedies: criminal enforcement and a documented identity-theft reporting and referral procedure where statutory requirements are met. | Authority: law enforcement / courts.</w:t>
      </w:r>
    </w:p>
    <w:p w14:paraId="0FE81E4D"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Regulations</w:t>
      </w:r>
    </w:p>
    <w:p w14:paraId="56DF33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Maine Bureau of Consumer Credit Protection rules — consult current Maine administrative rules governing debt-collector licensing, conduct, records, complaints, consumer reporting, and administrative enforcement. Verify the exact chapter and section before filing or relying on a rule.</w:t>
      </w:r>
    </w:p>
    <w:p w14:paraId="4BC12908"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Policies / Guidance</w:t>
      </w:r>
    </w:p>
    <w:p w14:paraId="4C4FF9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Maine Attorney General — Consumer Protection Division: consumer complaint intake and UTPA enforcement guidance.</w:t>
      </w:r>
    </w:p>
    <w:p w14:paraId="33362FD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Maine Bureau of Consumer Credit Protection: complaint procedures, licensed debt-collector oversight, consumer-reporting administration, and enforcement within its jurisdiction.</w:t>
      </w:r>
    </w:p>
    <w:p w14:paraId="40D5DED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lastRenderedPageBreak/>
        <w:t>Maine law enforcement and state regulators: identity-theft police-report, data-breach notice, and regulatory complaint pathways as applicable.</w:t>
      </w:r>
    </w:p>
    <w:p w14:paraId="67D1A2A2"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Ordinances</w:t>
      </w:r>
    </w:p>
    <w:p w14:paraId="70590F38" w14:textId="77777777" w:rsidR="00756B19" w:rsidRDefault="00F247EE">
      <w:pPr>
        <w:spacing w:after="60"/>
        <w:rPr>
          <w:rFonts w:ascii="Courier New" w:hAnsi="Courier New" w:cs="Courier New"/>
          <w:sz w:val="22"/>
        </w:rPr>
      </w:pPr>
      <w:r w:rsidRPr="00566B6A">
        <w:rPr>
          <w:rFonts w:ascii="Courier New" w:hAnsi="Courier New" w:cs="Courier New"/>
          <w:sz w:val="22"/>
        </w:rPr>
        <w:t>Local ordinances are not typically the controlling authority for credit-reporting disputes; none are identified as directly applicable in Maine without municipal verification.</w:t>
      </w:r>
    </w:p>
    <w:p w14:paraId="67D233BA" w14:textId="77777777" w:rsidR="00964317" w:rsidRPr="00566B6A" w:rsidRDefault="00964317">
      <w:pPr>
        <w:spacing w:after="60"/>
        <w:rPr>
          <w:rFonts w:ascii="Courier New" w:hAnsi="Courier New" w:cs="Courier New"/>
          <w:sz w:val="22"/>
        </w:rPr>
      </w:pPr>
    </w:p>
    <w:p w14:paraId="23A9C68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56C90A9F" w14:textId="77777777">
        <w:trPr>
          <w:cantSplit/>
          <w:tblHeader/>
          <w:jc w:val="center"/>
        </w:trPr>
        <w:tc>
          <w:tcPr>
            <w:tcW w:w="2232" w:type="dxa"/>
            <w:shd w:val="clear" w:color="auto" w:fill="D9EAF7"/>
            <w:tcMar>
              <w:top w:w="55" w:type="dxa"/>
              <w:left w:w="55" w:type="dxa"/>
              <w:bottom w:w="55" w:type="dxa"/>
              <w:right w:w="55" w:type="dxa"/>
            </w:tcMar>
            <w:vAlign w:val="center"/>
          </w:tcPr>
          <w:p w14:paraId="433264E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F55409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049CB34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0A97A35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7660DDB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D26DBB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4D686B0" w14:textId="77777777">
        <w:trPr>
          <w:cantSplit/>
          <w:jc w:val="center"/>
        </w:trPr>
        <w:tc>
          <w:tcPr>
            <w:tcW w:w="2232" w:type="dxa"/>
            <w:tcMar>
              <w:top w:w="50" w:type="dxa"/>
              <w:left w:w="55" w:type="dxa"/>
              <w:bottom w:w="50" w:type="dxa"/>
              <w:right w:w="55" w:type="dxa"/>
            </w:tcMar>
          </w:tcPr>
          <w:p w14:paraId="79A966A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State v. Weinschenk</w:t>
            </w:r>
          </w:p>
        </w:tc>
        <w:tc>
          <w:tcPr>
            <w:tcW w:w="1152" w:type="dxa"/>
            <w:tcMar>
              <w:top w:w="50" w:type="dxa"/>
              <w:left w:w="55" w:type="dxa"/>
              <w:bottom w:w="50" w:type="dxa"/>
              <w:right w:w="55" w:type="dxa"/>
            </w:tcMar>
          </w:tcPr>
          <w:p w14:paraId="72D4F0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 Sup. Jud. Ct.</w:t>
            </w:r>
          </w:p>
        </w:tc>
        <w:tc>
          <w:tcPr>
            <w:tcW w:w="748" w:type="dxa"/>
            <w:tcMar>
              <w:top w:w="50" w:type="dxa"/>
              <w:left w:w="55" w:type="dxa"/>
              <w:bottom w:w="50" w:type="dxa"/>
              <w:right w:w="55" w:type="dxa"/>
            </w:tcMar>
          </w:tcPr>
          <w:p w14:paraId="6E26254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2005</w:t>
            </w:r>
          </w:p>
        </w:tc>
        <w:tc>
          <w:tcPr>
            <w:tcW w:w="2088" w:type="dxa"/>
            <w:tcMar>
              <w:top w:w="50" w:type="dxa"/>
              <w:left w:w="55" w:type="dxa"/>
              <w:bottom w:w="50" w:type="dxa"/>
              <w:right w:w="55" w:type="dxa"/>
            </w:tcMar>
          </w:tcPr>
          <w:p w14:paraId="487057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2005 ME 28, 868 A.2d 200</w:t>
            </w:r>
          </w:p>
        </w:tc>
        <w:tc>
          <w:tcPr>
            <w:tcW w:w="4536" w:type="dxa"/>
            <w:tcMar>
              <w:top w:w="50" w:type="dxa"/>
              <w:left w:w="55" w:type="dxa"/>
              <w:bottom w:w="50" w:type="dxa"/>
              <w:right w:w="55" w:type="dxa"/>
            </w:tcMar>
          </w:tcPr>
          <w:p w14:paraId="18E812C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Explains that unfairness generally requires substantial consumer injury that is not reasonably avoidable and is not outweighed by countervailing benefits. A deceptive practice may be a material representation, omission, act, or practice likely to mislead reasonable consumers.</w:t>
            </w:r>
          </w:p>
        </w:tc>
        <w:tc>
          <w:tcPr>
            <w:tcW w:w="3643" w:type="dxa"/>
            <w:tcMar>
              <w:top w:w="50" w:type="dxa"/>
              <w:left w:w="55" w:type="dxa"/>
              <w:bottom w:w="50" w:type="dxa"/>
              <w:right w:w="55" w:type="dxa"/>
            </w:tcMar>
          </w:tcPr>
          <w:p w14:paraId="1A2627E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the material statement or omission, consumer reliance or decision impact, substantial injury, ability to avoid the harm, and any asserted countervailing benefit.</w:t>
            </w:r>
          </w:p>
        </w:tc>
      </w:tr>
      <w:tr w:rsidR="00756B19" w:rsidRPr="00566B6A" w14:paraId="5698ECA4" w14:textId="77777777">
        <w:trPr>
          <w:cantSplit/>
          <w:jc w:val="center"/>
        </w:trPr>
        <w:tc>
          <w:tcPr>
            <w:tcW w:w="2232" w:type="dxa"/>
            <w:shd w:val="clear" w:color="auto" w:fill="F7FAFC"/>
            <w:tcMar>
              <w:top w:w="50" w:type="dxa"/>
              <w:left w:w="55" w:type="dxa"/>
              <w:bottom w:w="50" w:type="dxa"/>
              <w:right w:w="55" w:type="dxa"/>
            </w:tcMar>
          </w:tcPr>
          <w:p w14:paraId="74F9F4B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McKinnon v. Honeywell International, Inc.</w:t>
            </w:r>
          </w:p>
        </w:tc>
        <w:tc>
          <w:tcPr>
            <w:tcW w:w="1152" w:type="dxa"/>
            <w:shd w:val="clear" w:color="auto" w:fill="F7FAFC"/>
            <w:tcMar>
              <w:top w:w="50" w:type="dxa"/>
              <w:left w:w="55" w:type="dxa"/>
              <w:bottom w:w="50" w:type="dxa"/>
              <w:right w:w="55" w:type="dxa"/>
            </w:tcMar>
          </w:tcPr>
          <w:p w14:paraId="342ED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 Sup. Jud. Ct.</w:t>
            </w:r>
          </w:p>
        </w:tc>
        <w:tc>
          <w:tcPr>
            <w:tcW w:w="748" w:type="dxa"/>
            <w:shd w:val="clear" w:color="auto" w:fill="F7FAFC"/>
            <w:tcMar>
              <w:top w:w="50" w:type="dxa"/>
              <w:left w:w="55" w:type="dxa"/>
              <w:bottom w:w="50" w:type="dxa"/>
              <w:right w:w="55" w:type="dxa"/>
            </w:tcMar>
          </w:tcPr>
          <w:p w14:paraId="0438024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2009</w:t>
            </w:r>
          </w:p>
        </w:tc>
        <w:tc>
          <w:tcPr>
            <w:tcW w:w="2088" w:type="dxa"/>
            <w:shd w:val="clear" w:color="auto" w:fill="F7FAFC"/>
            <w:tcMar>
              <w:top w:w="50" w:type="dxa"/>
              <w:left w:w="55" w:type="dxa"/>
              <w:bottom w:w="50" w:type="dxa"/>
              <w:right w:w="55" w:type="dxa"/>
            </w:tcMar>
          </w:tcPr>
          <w:p w14:paraId="73BC4D6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2009 ME 69, 977 A.2d 420</w:t>
            </w:r>
          </w:p>
        </w:tc>
        <w:tc>
          <w:tcPr>
            <w:tcW w:w="4536" w:type="dxa"/>
            <w:shd w:val="clear" w:color="auto" w:fill="F7FAFC"/>
            <w:tcMar>
              <w:top w:w="50" w:type="dxa"/>
              <w:left w:w="55" w:type="dxa"/>
              <w:bottom w:w="50" w:type="dxa"/>
              <w:right w:w="55" w:type="dxa"/>
            </w:tcMar>
          </w:tcPr>
          <w:p w14:paraId="19F38DE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Applied Maine’s six-year limitations period to a UTPA claim and explained that accrual generally occurs when the plaintiff sustains a judicially cognizable injury. The court also required a nonspeculative loss or injury to support the consumer claim.</w:t>
            </w:r>
          </w:p>
        </w:tc>
        <w:tc>
          <w:tcPr>
            <w:tcW w:w="3643" w:type="dxa"/>
            <w:shd w:val="clear" w:color="auto" w:fill="F7FAFC"/>
            <w:tcMar>
              <w:top w:w="50" w:type="dxa"/>
              <w:left w:w="55" w:type="dxa"/>
              <w:bottom w:w="50" w:type="dxa"/>
              <w:right w:w="55" w:type="dxa"/>
            </w:tcMar>
          </w:tcPr>
          <w:p w14:paraId="2F9733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transaction date, date of actual loss, proof of payment, alleged misrepresentation, damages calculation, and filing deadline under 14 M.R.S. § 752.</w:t>
            </w:r>
          </w:p>
        </w:tc>
      </w:tr>
      <w:tr w:rsidR="00756B19" w:rsidRPr="00566B6A" w14:paraId="7EDC4511" w14:textId="77777777">
        <w:trPr>
          <w:cantSplit/>
          <w:jc w:val="center"/>
        </w:trPr>
        <w:tc>
          <w:tcPr>
            <w:tcW w:w="2232" w:type="dxa"/>
            <w:tcMar>
              <w:top w:w="50" w:type="dxa"/>
              <w:left w:w="55" w:type="dxa"/>
              <w:bottom w:w="50" w:type="dxa"/>
              <w:right w:w="55" w:type="dxa"/>
            </w:tcMar>
          </w:tcPr>
          <w:p w14:paraId="43BB22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Bank of America, N.A. v. Camire</w:t>
            </w:r>
          </w:p>
        </w:tc>
        <w:tc>
          <w:tcPr>
            <w:tcW w:w="1152" w:type="dxa"/>
            <w:tcMar>
              <w:top w:w="50" w:type="dxa"/>
              <w:left w:w="55" w:type="dxa"/>
              <w:bottom w:w="50" w:type="dxa"/>
              <w:right w:w="55" w:type="dxa"/>
            </w:tcMar>
          </w:tcPr>
          <w:p w14:paraId="7D1CCB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 Sup. Jud. Ct.</w:t>
            </w:r>
          </w:p>
        </w:tc>
        <w:tc>
          <w:tcPr>
            <w:tcW w:w="748" w:type="dxa"/>
            <w:tcMar>
              <w:top w:w="50" w:type="dxa"/>
              <w:left w:w="55" w:type="dxa"/>
              <w:bottom w:w="50" w:type="dxa"/>
              <w:right w:w="55" w:type="dxa"/>
            </w:tcMar>
          </w:tcPr>
          <w:p w14:paraId="54C95B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2017</w:t>
            </w:r>
          </w:p>
        </w:tc>
        <w:tc>
          <w:tcPr>
            <w:tcW w:w="2088" w:type="dxa"/>
            <w:tcMar>
              <w:top w:w="50" w:type="dxa"/>
              <w:left w:w="55" w:type="dxa"/>
              <w:bottom w:w="50" w:type="dxa"/>
              <w:right w:w="55" w:type="dxa"/>
            </w:tcMar>
          </w:tcPr>
          <w:p w14:paraId="4BC38F4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2017 ME 20, 155 A.3d 416</w:t>
            </w:r>
          </w:p>
        </w:tc>
        <w:tc>
          <w:tcPr>
            <w:tcW w:w="4536" w:type="dxa"/>
            <w:tcMar>
              <w:top w:w="50" w:type="dxa"/>
              <w:left w:w="55" w:type="dxa"/>
              <w:bottom w:w="50" w:type="dxa"/>
              <w:right w:w="55" w:type="dxa"/>
            </w:tcMar>
          </w:tcPr>
          <w:p w14:paraId="285D488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Held that the record did not establish as a matter of law that the collecting entity was exempt from the Maine and federal FDCPA. A creditor may qualify as a debt collector when collecting under another name suggesting that a third party is involved. FDCPA relief does not erase the underlying debt.</w:t>
            </w:r>
          </w:p>
        </w:tc>
        <w:tc>
          <w:tcPr>
            <w:tcW w:w="3643" w:type="dxa"/>
            <w:tcMar>
              <w:top w:w="50" w:type="dxa"/>
              <w:left w:w="55" w:type="dxa"/>
              <w:bottom w:w="50" w:type="dxa"/>
              <w:right w:w="55" w:type="dxa"/>
            </w:tcMar>
          </w:tcPr>
          <w:p w14:paraId="1DB333F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creditor and collector names, assignment and merger records, collection pleadings, account ownership evidence, communications, and the one-year Maine FDCPA limitations date.</w:t>
            </w:r>
          </w:p>
        </w:tc>
      </w:tr>
    </w:tbl>
    <w:p w14:paraId="635296EF" w14:textId="77777777" w:rsidR="00756B19" w:rsidRPr="00566B6A" w:rsidRDefault="00756B19">
      <w:pPr>
        <w:spacing w:after="20"/>
        <w:rPr>
          <w:rFonts w:ascii="Courier New" w:hAnsi="Courier New" w:cs="Courier New"/>
          <w:sz w:val="22"/>
        </w:rPr>
      </w:pPr>
    </w:p>
    <w:p w14:paraId="72752F1B"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G — ADAPTIVE AI AUTHORITY LIBRARY (CONSTANT UPDATES)</w:t>
      </w:r>
    </w:p>
    <w:p w14:paraId="149D0850"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Authority Library Version ID: TK-Authority-2026-07-ME</w:t>
      </w:r>
    </w:p>
    <w:p w14:paraId="67548EF2"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Last Updated Date: July 24, 2026</w:t>
      </w:r>
    </w:p>
    <w:p w14:paraId="31FCC85C"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Filters Applied: Federal + ME</w:t>
      </w:r>
    </w:p>
    <w:p w14:paraId="499F413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Update Discipline: Citations must be validated against official sources before inclusion. Maine statutory references in this version were checked against the Maine Legislature’s current publications and applicable 2026 effective-date materials. Federal FCRA authorities were checked against the Office of the Law Revision Counsel U.S. Code and current Regulation V materials available on July 24, 2026.</w:t>
      </w:r>
    </w:p>
    <w:p w14:paraId="7D95EC5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Confidence Flags</w:t>
      </w:r>
    </w:p>
    <w:p w14:paraId="7B98AE2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State-Specific Authority</w:t>
      </w:r>
    </w:p>
    <w:p w14:paraId="2B5D10D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Preemption-Sensitive Authority</w:t>
      </w:r>
    </w:p>
    <w:p w14:paraId="2C5AD9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Legislative Updates</w:t>
      </w:r>
    </w:p>
    <w:p w14:paraId="34661A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New Judicial Decisions</w:t>
      </w:r>
    </w:p>
    <w:p w14:paraId="4C0CF72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Verification Required when a regulation, agency jurisdiction, local ordinance, or private remedy is not expressly confirmed</w:t>
      </w:r>
    </w:p>
    <w:p w14:paraId="2873AAC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This section was generated using a continuously updated authority library designed to identify relevant federal and Maine consumer-protection authorities. Statutes, regulations, agency guidance, and judicial decisions may change over time. This section is educational and informational only and does not constitute legal advice or legal representation.</w:t>
      </w:r>
    </w:p>
    <w:p w14:paraId="786B72E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H — CITATION RULES (MANDATORY)</w:t>
      </w:r>
    </w:p>
    <w:p w14:paraId="4D24D7B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Statutes / Acts: official code citation by title, chapter, article, and section.</w:t>
      </w:r>
    </w:p>
    <w:p w14:paraId="197598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Regulations: current Maine administrative rule citation by agency, chapter, and section.</w:t>
      </w:r>
    </w:p>
    <w:p w14:paraId="4F70BEF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Policies / Guidance: agency name, document or webpage title, publication or access date when available, and official source.</w:t>
      </w:r>
    </w:p>
    <w:p w14:paraId="335B91D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Cases: court, year, neutral citation and reporter citation when available; otherwise docket, court, year, and official/public source.</w:t>
      </w:r>
    </w:p>
    <w:p w14:paraId="5AF73C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 Citation = No Claim™: omit the statement or mark “Verification Required” and explain what must be verified.</w:t>
      </w:r>
    </w:p>
    <w:p w14:paraId="59E8223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REQUIRED SECTION DISCLAIMER (END)</w:t>
      </w:r>
    </w:p>
    <w:p w14:paraId="39747516" w14:textId="77777777" w:rsidR="00756B19" w:rsidRDefault="00F247EE">
      <w:pPr>
        <w:keepLines/>
        <w:spacing w:before="40" w:after="0"/>
        <w:rPr>
          <w:rFonts w:ascii="Courier New" w:hAnsi="Courier New" w:cs="Courier New"/>
          <w:i/>
          <w:color w:val="464646"/>
          <w:sz w:val="22"/>
        </w:rPr>
      </w:pPr>
      <w:r w:rsidRPr="00566B6A">
        <w:rPr>
          <w:rFonts w:ascii="Courier New" w:hAnsi="Courier New" w:cs="Courier New"/>
          <w:i/>
          <w:sz w:val="22"/>
        </w:rPr>
        <w:t>Nothing contained within this section should be interpreted as legal advice, legal representation, or a guarantee of outcome. Consumers remain responsible for their own decisions and actions. Applicable laws, regulations, agency jurisdiction, and judicial interpretations may change over time. This section is provided solely for educational, informational</w:t>
      </w:r>
      <w:r w:rsidRPr="00566B6A">
        <w:rPr>
          <w:rFonts w:ascii="Courier New" w:hAnsi="Courier New" w:cs="Courier New"/>
          <w:i/>
          <w:color w:val="464646"/>
          <w:sz w:val="22"/>
        </w:rPr>
        <w:t>, and procedural self-help purposes.</w:t>
      </w:r>
    </w:p>
    <w:p w14:paraId="5A489BC8" w14:textId="77777777" w:rsidR="00BD7EED" w:rsidRDefault="00BD7EED">
      <w:pPr>
        <w:keepLines/>
        <w:spacing w:before="40" w:after="0"/>
        <w:rPr>
          <w:rFonts w:ascii="Courier New" w:hAnsi="Courier New" w:cs="Courier New"/>
          <w:i/>
          <w:color w:val="464646"/>
          <w:sz w:val="22"/>
        </w:rPr>
      </w:pPr>
    </w:p>
    <w:p w14:paraId="793F004D" w14:textId="77777777" w:rsidR="00BD7EED" w:rsidRDefault="00BD7EED">
      <w:pPr>
        <w:keepLines/>
        <w:spacing w:before="40" w:after="0"/>
        <w:rPr>
          <w:rFonts w:ascii="Courier New" w:hAnsi="Courier New" w:cs="Courier New"/>
          <w:i/>
          <w:color w:val="464646"/>
          <w:sz w:val="22"/>
        </w:rPr>
      </w:pPr>
    </w:p>
    <w:p w14:paraId="4EA59E70" w14:textId="77777777" w:rsidR="00BD7EED" w:rsidRDefault="00BD7EED">
      <w:pPr>
        <w:keepLines/>
        <w:spacing w:before="40" w:after="0"/>
        <w:rPr>
          <w:rFonts w:ascii="Courier New" w:hAnsi="Courier New" w:cs="Courier New"/>
          <w:i/>
          <w:color w:val="464646"/>
          <w:sz w:val="22"/>
        </w:rPr>
      </w:pPr>
    </w:p>
    <w:p w14:paraId="41B72AA8" w14:textId="77777777" w:rsidR="00BD7EED" w:rsidRDefault="00BD7EED">
      <w:pPr>
        <w:keepLines/>
        <w:spacing w:before="40" w:after="0"/>
        <w:rPr>
          <w:rFonts w:ascii="Courier New" w:hAnsi="Courier New" w:cs="Courier New"/>
          <w:i/>
          <w:color w:val="464646"/>
          <w:sz w:val="22"/>
        </w:rPr>
      </w:pPr>
    </w:p>
    <w:p w14:paraId="42B7C716" w14:textId="77777777" w:rsidR="00BD7EED" w:rsidRDefault="00BD7EED">
      <w:pPr>
        <w:keepLines/>
        <w:spacing w:before="40" w:after="0"/>
        <w:rPr>
          <w:rFonts w:ascii="Courier New" w:hAnsi="Courier New" w:cs="Courier New"/>
          <w:i/>
          <w:color w:val="464646"/>
          <w:sz w:val="22"/>
        </w:rPr>
      </w:pPr>
    </w:p>
    <w:p w14:paraId="5C3A8A05" w14:textId="77777777" w:rsidR="00BD7EED" w:rsidRDefault="00BD7EED">
      <w:pPr>
        <w:keepLines/>
        <w:spacing w:before="40" w:after="0"/>
        <w:rPr>
          <w:rFonts w:ascii="Courier New" w:hAnsi="Courier New" w:cs="Courier New"/>
          <w:i/>
          <w:color w:val="464646"/>
          <w:sz w:val="22"/>
        </w:rPr>
      </w:pPr>
    </w:p>
    <w:p w14:paraId="0BEFAA58" w14:textId="77777777" w:rsidR="00BD7EED" w:rsidRDefault="00BD7EED">
      <w:pPr>
        <w:keepLines/>
        <w:spacing w:before="40" w:after="0"/>
        <w:rPr>
          <w:rFonts w:ascii="Courier New" w:hAnsi="Courier New" w:cs="Courier New"/>
          <w:i/>
          <w:color w:val="464646"/>
          <w:sz w:val="22"/>
        </w:rPr>
      </w:pPr>
    </w:p>
    <w:p w14:paraId="72054B27" w14:textId="77777777" w:rsidR="00BD7EED" w:rsidRDefault="00BD7EED">
      <w:pPr>
        <w:keepLines/>
        <w:spacing w:before="40" w:after="0"/>
        <w:rPr>
          <w:rFonts w:ascii="Courier New" w:hAnsi="Courier New" w:cs="Courier New"/>
          <w:i/>
          <w:color w:val="464646"/>
          <w:sz w:val="22"/>
        </w:rPr>
      </w:pPr>
    </w:p>
    <w:p w14:paraId="1C34DB2E" w14:textId="77777777" w:rsidR="00BD7EED" w:rsidRDefault="00BD7EED">
      <w:pPr>
        <w:keepLines/>
        <w:spacing w:before="40" w:after="0"/>
        <w:rPr>
          <w:rFonts w:ascii="Courier New" w:hAnsi="Courier New" w:cs="Courier New"/>
          <w:i/>
          <w:color w:val="464646"/>
          <w:sz w:val="22"/>
        </w:rPr>
      </w:pPr>
    </w:p>
    <w:p w14:paraId="6D976413" w14:textId="77777777" w:rsidR="00BD7EED" w:rsidRDefault="00BD7EED">
      <w:pPr>
        <w:keepLines/>
        <w:spacing w:before="40" w:after="0"/>
        <w:rPr>
          <w:rFonts w:ascii="Courier New" w:hAnsi="Courier New" w:cs="Courier New"/>
          <w:i/>
          <w:color w:val="464646"/>
          <w:sz w:val="22"/>
        </w:rPr>
      </w:pPr>
    </w:p>
    <w:p w14:paraId="372A5196" w14:textId="77777777" w:rsidR="00BD7EED" w:rsidRDefault="00BD7EED">
      <w:pPr>
        <w:keepLines/>
        <w:spacing w:before="40" w:after="0"/>
        <w:rPr>
          <w:rFonts w:ascii="Courier New" w:hAnsi="Courier New" w:cs="Courier New"/>
          <w:i/>
          <w:color w:val="464646"/>
          <w:sz w:val="22"/>
        </w:rPr>
      </w:pPr>
    </w:p>
    <w:p w14:paraId="335C40D1" w14:textId="77777777" w:rsidR="00BD7EED" w:rsidRDefault="00BD7EED">
      <w:pPr>
        <w:keepLines/>
        <w:spacing w:before="40" w:after="0"/>
        <w:rPr>
          <w:rFonts w:ascii="Courier New" w:hAnsi="Courier New" w:cs="Courier New"/>
          <w:i/>
          <w:color w:val="464646"/>
          <w:sz w:val="22"/>
        </w:rPr>
      </w:pPr>
    </w:p>
    <w:p w14:paraId="6FD257A4" w14:textId="77777777" w:rsidR="00BD7EED" w:rsidRDefault="00BD7EED">
      <w:pPr>
        <w:keepLines/>
        <w:spacing w:before="40" w:after="0"/>
        <w:rPr>
          <w:rFonts w:ascii="Courier New" w:hAnsi="Courier New" w:cs="Courier New"/>
          <w:i/>
          <w:color w:val="464646"/>
          <w:sz w:val="22"/>
        </w:rPr>
      </w:pPr>
    </w:p>
    <w:p w14:paraId="6CD0DD27" w14:textId="77777777" w:rsidR="00BD7EED" w:rsidRPr="00566B6A" w:rsidRDefault="00BD7EED">
      <w:pPr>
        <w:keepLines/>
        <w:spacing w:before="40" w:after="0"/>
        <w:rPr>
          <w:rFonts w:ascii="Courier New" w:hAnsi="Courier New" w:cs="Courier New"/>
          <w:sz w:val="22"/>
        </w:rPr>
      </w:pPr>
    </w:p>
    <w:sectPr w:rsidR="00BD7EED" w:rsidRPr="00566B6A" w:rsidSect="00024A47">
      <w:headerReference w:type="default" r:id="rId8"/>
      <w:footerReference w:type="default" r:id="rId9"/>
      <w:pgSz w:w="15840" w:h="12240" w:orient="landscape"/>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5703B" w14:textId="77777777" w:rsidR="006234BB" w:rsidRDefault="006234BB">
      <w:pPr>
        <w:spacing w:after="0" w:line="240" w:lineRule="auto"/>
      </w:pPr>
      <w:r>
        <w:separator/>
      </w:r>
    </w:p>
  </w:endnote>
  <w:endnote w:type="continuationSeparator" w:id="0">
    <w:p w14:paraId="6B50D37D" w14:textId="77777777" w:rsidR="006234BB" w:rsidRDefault="006234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32E7" w14:textId="77777777" w:rsidR="00756B19" w:rsidRDefault="00F247EE">
    <w:pPr>
      <w:pStyle w:val="Footer"/>
      <w:jc w:val="center"/>
    </w:pPr>
    <w:r>
      <w:rPr>
        <w:i/>
        <w:color w:val="5A5A5A"/>
        <w:sz w:val="14"/>
      </w:rPr>
      <w:t>Educational and procedural self-help material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110AD" w14:textId="77777777" w:rsidR="006234BB" w:rsidRDefault="006234BB">
      <w:pPr>
        <w:spacing w:after="0" w:line="240" w:lineRule="auto"/>
      </w:pPr>
      <w:r>
        <w:separator/>
      </w:r>
    </w:p>
  </w:footnote>
  <w:footnote w:type="continuationSeparator" w:id="0">
    <w:p w14:paraId="4A7B6C31" w14:textId="77777777" w:rsidR="006234BB" w:rsidRDefault="006234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0026" w14:textId="77777777" w:rsidR="00756B19" w:rsidRDefault="00F247EE">
    <w:pPr>
      <w:pStyle w:val="Header"/>
      <w:jc w:val="right"/>
    </w:pPr>
    <w:r>
      <w:rPr>
        <w:b/>
        <w:color w:val="505050"/>
        <w:sz w:val="15"/>
      </w:rPr>
      <w:t>GLADIC AI™ — SECTION 3A | MAINE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968295">
    <w:abstractNumId w:val="8"/>
  </w:num>
  <w:num w:numId="2" w16cid:durableId="587035469">
    <w:abstractNumId w:val="6"/>
  </w:num>
  <w:num w:numId="3" w16cid:durableId="1436708472">
    <w:abstractNumId w:val="5"/>
  </w:num>
  <w:num w:numId="4" w16cid:durableId="1789540790">
    <w:abstractNumId w:val="4"/>
  </w:num>
  <w:num w:numId="5" w16cid:durableId="1384210192">
    <w:abstractNumId w:val="7"/>
  </w:num>
  <w:num w:numId="6" w16cid:durableId="1391731214">
    <w:abstractNumId w:val="3"/>
  </w:num>
  <w:num w:numId="7" w16cid:durableId="1612858173">
    <w:abstractNumId w:val="2"/>
  </w:num>
  <w:num w:numId="8" w16cid:durableId="1642072394">
    <w:abstractNumId w:val="1"/>
  </w:num>
  <w:num w:numId="9" w16cid:durableId="14229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47"/>
    <w:rsid w:val="00034616"/>
    <w:rsid w:val="0006063C"/>
    <w:rsid w:val="000C26BB"/>
    <w:rsid w:val="0015074B"/>
    <w:rsid w:val="0029639D"/>
    <w:rsid w:val="00326F90"/>
    <w:rsid w:val="00463F22"/>
    <w:rsid w:val="00566B6A"/>
    <w:rsid w:val="005A26E2"/>
    <w:rsid w:val="006234BB"/>
    <w:rsid w:val="00655F05"/>
    <w:rsid w:val="006F27AD"/>
    <w:rsid w:val="00736F61"/>
    <w:rsid w:val="00756B19"/>
    <w:rsid w:val="00964317"/>
    <w:rsid w:val="00AA1D8D"/>
    <w:rsid w:val="00B47730"/>
    <w:rsid w:val="00BD7EED"/>
    <w:rsid w:val="00CB0664"/>
    <w:rsid w:val="00F247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50A26"/>
  <w14:defaultImageDpi w14:val="300"/>
  <w15:docId w15:val="{5EEB66F3-E441-4F2E-A330-5A737E43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4616</Words>
  <Characters>26316</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Section 3A — Wyoming Laws and Federal FCRA Personal Information Corrections</vt:lpstr>
    </vt:vector>
  </TitlesOfParts>
  <Manager/>
  <Company/>
  <LinksUpToDate>false</LinksUpToDate>
  <CharactersWithSpaces>30871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3A — Wyoming Laws and Federal FCRA Personal Information Corrections</dc:title>
  <dc:subject>Wyoming consumer protection, federal FCRA, inaccurate address, employment, and contact information</dc:subject>
  <dc:creator>GLADIC AI™</dc:creator>
  <cp:keywords>Wyoming, consumer protection, WCPA, FCRA, debt collection, security freeze, case law</cp:keywords>
  <dc:description>Educational and procedural self-help material.</dc:description>
  <cp:lastModifiedBy>Louis Lewis</cp:lastModifiedBy>
  <cp:revision>2</cp:revision>
  <dcterms:created xsi:type="dcterms:W3CDTF">2026-07-24T08:24:00Z</dcterms:created>
  <dcterms:modified xsi:type="dcterms:W3CDTF">2026-07-24T08:24:00Z</dcterms:modified>
  <cp:category/>
</cp:coreProperties>
</file>