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38675C" w14:textId="77777777" w:rsidR="00756B19" w:rsidRPr="00024A47" w:rsidRDefault="00F247EE">
      <w:pPr>
        <w:jc w:val="center"/>
        <w:rPr>
          <w:rFonts w:ascii="Courier New" w:hAnsi="Courier New" w:cs="Courier New"/>
          <w:sz w:val="26"/>
          <w:szCs w:val="26"/>
        </w:rPr>
      </w:pPr>
      <w:r w:rsidRPr="00024A47">
        <w:rPr>
          <w:rFonts w:ascii="Courier New" w:hAnsi="Courier New" w:cs="Courier New"/>
          <w:b/>
          <w:sz w:val="26"/>
          <w:szCs w:val="26"/>
        </w:rPr>
        <w:t>SECTION 3A — KNOW YOUR RIGHTS AND PROTECTION UNDER YOUR RESIDING STATE</w:t>
      </w:r>
    </w:p>
    <w:p w14:paraId="7D6F8D99" w14:textId="77777777" w:rsidR="00024A47" w:rsidRPr="00024A47" w:rsidRDefault="00024A47">
      <w:pPr>
        <w:spacing w:after="140"/>
        <w:jc w:val="center"/>
        <w:rPr>
          <w:rFonts w:ascii="Courier New" w:hAnsi="Courier New" w:cs="Courier New"/>
          <w:b/>
          <w:sz w:val="22"/>
        </w:rPr>
      </w:pPr>
    </w:p>
    <w:p w14:paraId="6EE21F1E" w14:textId="0AFF410F" w:rsidR="00756B19" w:rsidRDefault="00F247EE" w:rsidP="00566B6A">
      <w:pPr>
        <w:spacing w:after="0"/>
        <w:jc w:val="center"/>
        <w:rPr>
          <w:rFonts w:ascii="Courier New" w:hAnsi="Courier New" w:cs="Courier New"/>
          <w:bCs/>
          <w:sz w:val="22"/>
        </w:rPr>
      </w:pPr>
      <w:r w:rsidRPr="00024A47">
        <w:rPr>
          <w:rFonts w:ascii="Courier New" w:hAnsi="Courier New" w:cs="Courier New"/>
          <w:bCs/>
          <w:sz w:val="22"/>
        </w:rPr>
        <w:t>GLADIC AI GENERATOR INSTRUCTIONS (STATE-AUTO-RENDER + CITED AUTHORITIES)</w:t>
      </w:r>
    </w:p>
    <w:p w14:paraId="72FA0717" w14:textId="77777777" w:rsidR="00566B6A" w:rsidRPr="00024A47" w:rsidRDefault="00566B6A" w:rsidP="00566B6A">
      <w:pPr>
        <w:spacing w:after="0"/>
        <w:jc w:val="center"/>
        <w:rPr>
          <w:rFonts w:ascii="Courier New" w:hAnsi="Courier New" w:cs="Courier New"/>
          <w:bCs/>
          <w:sz w:val="22"/>
        </w:rPr>
      </w:pPr>
    </w:p>
    <w:p w14:paraId="73D0B4E9" w14:textId="77777777" w:rsidR="00756B19" w:rsidRPr="00566B6A" w:rsidRDefault="00F247EE" w:rsidP="00566B6A">
      <w:pPr>
        <w:spacing w:after="0"/>
        <w:rPr>
          <w:rFonts w:ascii="Courier New" w:hAnsi="Courier New" w:cs="Courier New"/>
          <w:bCs/>
          <w:sz w:val="22"/>
        </w:rPr>
      </w:pPr>
      <w:r w:rsidRPr="00566B6A">
        <w:rPr>
          <w:rFonts w:ascii="Courier New" w:hAnsi="Courier New" w:cs="Courier New"/>
          <w:bCs/>
          <w:sz w:val="22"/>
        </w:rPr>
        <w:t>Purpose: Educational, procedural self-help module complementing federal FCRA rights.</w:t>
      </w:r>
    </w:p>
    <w:p w14:paraId="28B947F5" w14:textId="2BAD2651" w:rsidR="00756B19" w:rsidRPr="00566B6A" w:rsidRDefault="00F247EE" w:rsidP="00566B6A">
      <w:pPr>
        <w:spacing w:after="0"/>
        <w:rPr>
          <w:rFonts w:ascii="Courier New" w:hAnsi="Courier New" w:cs="Courier New"/>
          <w:bCs/>
          <w:sz w:val="22"/>
        </w:rPr>
      </w:pPr>
      <w:r w:rsidRPr="00566B6A">
        <w:rPr>
          <w:rFonts w:ascii="Courier New" w:hAnsi="Courier New" w:cs="Courier New"/>
          <w:bCs/>
          <w:sz w:val="22"/>
        </w:rPr>
        <w:t xml:space="preserve">Consumer: </w:t>
      </w:r>
      <w:r w:rsidR="006F27AD">
        <w:rPr>
          <w:rFonts w:ascii="Courier New" w:hAnsi="Courier New" w:cs="Courier New"/>
          <w:bCs/>
          <w:sz w:val="22"/>
        </w:rPr>
        <w:t>________________</w:t>
      </w:r>
    </w:p>
    <w:p w14:paraId="670A387A" w14:textId="77777777" w:rsidR="00756B19" w:rsidRPr="00566B6A" w:rsidRDefault="00F247EE" w:rsidP="00566B6A">
      <w:pPr>
        <w:pStyle w:val="Heading1"/>
        <w:spacing w:before="160"/>
        <w:rPr>
          <w:rFonts w:ascii="Courier New" w:hAnsi="Courier New" w:cs="Courier New"/>
          <w:b w:val="0"/>
          <w:color w:val="auto"/>
          <w:sz w:val="22"/>
          <w:szCs w:val="22"/>
        </w:rPr>
      </w:pPr>
      <w:r w:rsidRPr="00566B6A">
        <w:rPr>
          <w:rFonts w:ascii="Courier New" w:eastAsia="Arial" w:hAnsi="Courier New" w:cs="Courier New"/>
          <w:b w:val="0"/>
          <w:color w:val="auto"/>
          <w:sz w:val="22"/>
          <w:szCs w:val="22"/>
        </w:rPr>
        <w:t>PART A — STATE RIGHTS MAP (STATUTES / ACTS / REGULATIONS / POLICIES / ORDINANCES)</w:t>
      </w:r>
    </w:p>
    <w:p w14:paraId="0E257C30" w14:textId="77777777" w:rsidR="00756B19" w:rsidRPr="00566B6A" w:rsidRDefault="00F247EE" w:rsidP="00566B6A">
      <w:pPr>
        <w:spacing w:after="0"/>
        <w:rPr>
          <w:rFonts w:ascii="Courier New" w:hAnsi="Courier New" w:cs="Courier New"/>
          <w:bCs/>
          <w:sz w:val="22"/>
        </w:rPr>
      </w:pPr>
      <w:r w:rsidRPr="00566B6A">
        <w:rPr>
          <w:rFonts w:ascii="Courier New" w:hAnsi="Courier New" w:cs="Courier New"/>
          <w:bCs/>
          <w:sz w:val="22"/>
        </w:rPr>
        <w:t>Controlling STATE: Michigan (MI)</w:t>
      </w:r>
    </w:p>
    <w:p w14:paraId="4F19E513" w14:textId="77777777" w:rsidR="00756B19" w:rsidRPr="00566B6A" w:rsidRDefault="00F247EE" w:rsidP="00566B6A">
      <w:pPr>
        <w:spacing w:after="0"/>
        <w:rPr>
          <w:rFonts w:ascii="Courier New" w:hAnsi="Courier New" w:cs="Courier New"/>
          <w:bCs/>
          <w:sz w:val="22"/>
        </w:rPr>
      </w:pPr>
      <w:r w:rsidRPr="00566B6A">
        <w:rPr>
          <w:rFonts w:ascii="Courier New" w:hAnsi="Courier New" w:cs="Courier New"/>
          <w:bCs/>
          <w:sz w:val="22"/>
        </w:rPr>
        <w:t>Controlling STATE selected from current/most recent address on uploaded bureau report(s) (Experian, Equifax, TransUnion). Case-file STATE used only if report addresses were unavailable.</w:t>
      </w:r>
    </w:p>
    <w:p w14:paraId="2F75E71D" w14:textId="77777777" w:rsidR="00756B19" w:rsidRPr="00566B6A" w:rsidRDefault="00F247EE" w:rsidP="00566B6A">
      <w:pPr>
        <w:spacing w:after="0"/>
        <w:rPr>
          <w:rFonts w:ascii="Courier New" w:hAnsi="Courier New" w:cs="Courier New"/>
          <w:bCs/>
          <w:sz w:val="22"/>
        </w:rPr>
      </w:pPr>
      <w:r w:rsidRPr="00566B6A">
        <w:rPr>
          <w:rFonts w:ascii="Courier New" w:hAnsi="Courier New" w:cs="Courier New"/>
          <w:bCs/>
          <w:sz w:val="22"/>
        </w:rPr>
        <w:t>Secondary STATEs (identity profile): None identified for this Michigan-only module.</w:t>
      </w:r>
    </w:p>
    <w:p w14:paraId="59301BE0" w14:textId="77777777" w:rsidR="00756B19" w:rsidRPr="00566B6A" w:rsidRDefault="00F247EE" w:rsidP="00566B6A">
      <w:pPr>
        <w:pStyle w:val="Heading2"/>
        <w:spacing w:before="100"/>
        <w:rPr>
          <w:rFonts w:ascii="Courier New" w:hAnsi="Courier New" w:cs="Courier New"/>
          <w:b w:val="0"/>
          <w:color w:val="auto"/>
          <w:sz w:val="22"/>
          <w:szCs w:val="22"/>
        </w:rPr>
      </w:pPr>
      <w:r w:rsidRPr="00566B6A">
        <w:rPr>
          <w:rFonts w:ascii="Courier New" w:eastAsia="Arial" w:hAnsi="Courier New" w:cs="Courier New"/>
          <w:b w:val="0"/>
          <w:color w:val="auto"/>
          <w:sz w:val="22"/>
          <w:szCs w:val="22"/>
        </w:rPr>
        <w:t>STATE UDAP / Consumer Protection Act(s)</w:t>
      </w:r>
    </w:p>
    <w:p w14:paraId="25AA4023"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Name: Michigan Consumer Protection Act (MCPA)</w:t>
      </w:r>
    </w:p>
    <w:p w14:paraId="0F6B3770"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Citation: MCL 445.901 through 445.922</w:t>
      </w:r>
    </w:p>
    <w:p w14:paraId="1F3A8A6C"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Scope: Prohibits unfair, unconscionable, or deceptive methods, acts, or practices in trade or commerce, subject to statutory definitions, exemptions, and Michigan judicial interpretation.</w:t>
      </w:r>
    </w:p>
    <w:p w14:paraId="23DD16B2"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Remedies: A person suffering loss may seek actual damages or $250, whichever is greater, together with reasonable attorney’s fees. Injunctive and declaratory relief may also be available. The Attorney General may investigate and pursue injunctions, restitution, civil penalties, and other authorized relief.</w:t>
      </w:r>
    </w:p>
    <w:p w14:paraId="73BC6CBF"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Private right of action: Available under MCL 445.911 to a person who suffers loss from a prohibited practice. A damages action generally must be filed within six years after the occurrence of the method, act, or practice giving rise to the claim under MCL 445.911(7). Applicability and regulated-conduct exemptions require separate review.</w:t>
      </w:r>
    </w:p>
    <w:p w14:paraId="1EA4E389"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AG enforcement: Michigan Department of Attorney General — Consumer Protection Team. Prohibited practices are listed in MCL 445.903; Attorney General investigation and enforcement powers are principally addressed in MCL 445.905 through 445.910.</w:t>
      </w:r>
    </w:p>
    <w:p w14:paraId="36B9B3E5" w14:textId="77777777" w:rsidR="00756B19" w:rsidRPr="00566B6A" w:rsidRDefault="00F247EE" w:rsidP="00566B6A">
      <w:pPr>
        <w:pStyle w:val="Heading2"/>
        <w:spacing w:before="100"/>
        <w:rPr>
          <w:rFonts w:ascii="Courier New" w:hAnsi="Courier New" w:cs="Courier New"/>
          <w:b w:val="0"/>
          <w:color w:val="auto"/>
          <w:sz w:val="22"/>
          <w:szCs w:val="22"/>
        </w:rPr>
      </w:pPr>
      <w:r w:rsidRPr="00566B6A">
        <w:rPr>
          <w:rFonts w:ascii="Courier New" w:eastAsia="Arial" w:hAnsi="Courier New" w:cs="Courier New"/>
          <w:b w:val="0"/>
          <w:color w:val="auto"/>
          <w:sz w:val="22"/>
          <w:szCs w:val="22"/>
        </w:rPr>
        <w:t>State Debt Collection Law(s)</w:t>
      </w:r>
    </w:p>
    <w:p w14:paraId="0D3729B8"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Applicability: Collection or tradeline derogatory activity present — review Michigan’s Regulation of Collection Practices Act, collection-agency licensing law, and applicable federal debt-collection law.</w:t>
      </w:r>
    </w:p>
    <w:p w14:paraId="18481CF0"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 xml:space="preserve">Overview: MCL 445.251 through 445.258 regulate collection conduct by defined regulated persons and prohibit misleading, deceptive, inaccurate, harassing, abusive, and other specified </w:t>
      </w:r>
      <w:r w:rsidRPr="00566B6A">
        <w:rPr>
          <w:rFonts w:ascii="Courier New" w:hAnsi="Courier New" w:cs="Courier New"/>
          <w:bCs/>
          <w:sz w:val="22"/>
        </w:rPr>
        <w:lastRenderedPageBreak/>
        <w:t>collection practices. The federal FDCPA remains separately applicable to qualifying debt collectors.</w:t>
      </w:r>
    </w:p>
    <w:p w14:paraId="218AD34B"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Citations: MCL 445.251 through 445.258; 15 U.S.C. §§ 1692 through 1692p.</w:t>
      </w:r>
    </w:p>
    <w:p w14:paraId="65D8AF3F"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Regulators: Michigan Department of Attorney General; Michigan Department of Licensing and Regulatory Affairs, where collection-agency licensing jurisdiction applies; CFPB and FTC where federal jurisdiction applies.</w:t>
      </w:r>
    </w:p>
    <w:p w14:paraId="44C7FD45" w14:textId="77777777" w:rsidR="00756B19" w:rsidRPr="00566B6A" w:rsidRDefault="00F247EE" w:rsidP="00566B6A">
      <w:pPr>
        <w:pStyle w:val="Heading2"/>
        <w:spacing w:before="100"/>
        <w:rPr>
          <w:rFonts w:ascii="Courier New" w:hAnsi="Courier New" w:cs="Courier New"/>
          <w:b w:val="0"/>
          <w:color w:val="auto"/>
          <w:sz w:val="22"/>
          <w:szCs w:val="22"/>
        </w:rPr>
      </w:pPr>
      <w:r w:rsidRPr="00566B6A">
        <w:rPr>
          <w:rFonts w:ascii="Courier New" w:eastAsia="Arial" w:hAnsi="Courier New" w:cs="Courier New"/>
          <w:b w:val="0"/>
          <w:color w:val="auto"/>
          <w:sz w:val="22"/>
          <w:szCs w:val="22"/>
        </w:rPr>
        <w:t>STATE Credit Reporting / Mini-FCRA Laws</w:t>
      </w:r>
    </w:p>
    <w:p w14:paraId="474C23CC"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Mini-FCRA status: No broad Michigan analogue governing all federal FCRA accuracy and reinvestigation duties is identified for this module. Michigan supplements federal rights through the Identity Theft Protection Act, MCL 445.61 through 445.79d, and the separate Security Freeze Act, MCL 445.2511 through 445.2542.</w:t>
      </w:r>
    </w:p>
    <w:p w14:paraId="4F0619E2"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Security freeze: Michigan consumers may place, temporarily lift, or remove a security freeze under the Security Freeze Act, MCL 445.2511 through 445.2542, subject to identity-verification, timing, and statutory exception provisions.</w:t>
      </w:r>
    </w:p>
    <w:p w14:paraId="381BC599"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Disclosures: Consumers may obtain file disclosures and dispute information under the federal FCRA. Michigan security-freeze procedures may separately restrict specified releases of a consumer report.</w:t>
      </w:r>
    </w:p>
    <w:p w14:paraId="1C7857E6"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Corrections: Inaccurate, incomplete, or unverifiable addresses, telephone numbers, employer entries, and other personal identifiers may be disputed directly with the consumer reporting agency under 15 U.S.C. § 1681i. Michigan claims should be evaluated separately for FCRA preemption.</w:t>
      </w:r>
    </w:p>
    <w:p w14:paraId="4FD0D9D0"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Fraud alerts: Initial and extended fraud alerts arise principally under federal law. Michigan supplements protection through identity-theft prohibitions, security freezes, breach-notification duties, and documented identity-restoration procedures.</w:t>
      </w:r>
    </w:p>
    <w:p w14:paraId="1A40D070"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Remedies: The Security Freeze Act authorizes civil remedies and administrative enforcement for specified violations, subject to statutory terms. Identity Theft Protection Act violations may also support criminal, regulatory, or other relief where expressly authorized.</w:t>
      </w:r>
    </w:p>
    <w:p w14:paraId="4389244A" w14:textId="77777777" w:rsidR="00756B19" w:rsidRPr="00566B6A" w:rsidRDefault="00F247EE" w:rsidP="00566B6A">
      <w:pPr>
        <w:pStyle w:val="Heading2"/>
        <w:rPr>
          <w:rFonts w:ascii="Courier New" w:hAnsi="Courier New" w:cs="Courier New"/>
          <w:b w:val="0"/>
          <w:color w:val="auto"/>
          <w:sz w:val="22"/>
          <w:szCs w:val="22"/>
        </w:rPr>
      </w:pPr>
      <w:r w:rsidRPr="00566B6A">
        <w:rPr>
          <w:rFonts w:ascii="Courier New" w:hAnsi="Courier New" w:cs="Courier New"/>
          <w:b w:val="0"/>
          <w:color w:val="auto"/>
          <w:sz w:val="22"/>
          <w:szCs w:val="22"/>
        </w:rPr>
        <w:t>FEDERAL FCRA — CORRECTION OR REMOVAL OF INACCURATE ADDRESS, EMPLOYMENT, AND CONTACT INFORMATION</w:t>
      </w:r>
    </w:p>
    <w:p w14:paraId="7F420F48"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Information covered by the consumer file: Under 15 U.S.C. § 1681a(g), a consumer “file” includes all information about the consumer recorded and retained by a consumer reporting agency, regardless of storage method. This permits a consumer to dispute personal identifiers retained in the file, including names, current or former addresses, telephone numbers, and past or present employer information.</w:t>
      </w:r>
    </w:p>
    <w:p w14:paraId="24514CA5"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lastRenderedPageBreak/>
        <w:t>Maximum possible accuracy: Whenever a consumer reporting agency prepares a consumer report, 15 U.S.C. § 1681e(b) requires reasonable procedures designed to assure maximum possible accuracy of the information concerning the consumer. Incorrect identifying information can support a mixed-file, identity-integrity, or report-accuracy review.</w:t>
      </w:r>
    </w:p>
    <w:p w14:paraId="5DF629C9"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File disclosure and source identification: Under 15 U.S.C. § 1681g(a)(1)–(2), the consumer may request a clear and accurate disclosure of all information in the file and the sources of that information, subject to statutory exceptions. The disclosure should be used to identify each disputed address, telephone number, employer, alias, or other personal-data entry precisely.</w:t>
      </w:r>
    </w:p>
    <w:p w14:paraId="47ADE7AD"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CRA dispute and reasonable reinvestigation: Under 15 U.S.C. § 1681i(a)(1)(A), when the consumer disputes the completeness or accuracy of any item of information in the file and notifies the consumer reporting agency, the agency must conduct a reasonable reinvestigation free of charge, determine whether the item is inaccurate, record its current status, or delete it in accordance with § 1681i(a)(5). Section 1681i(a)(4) requires the agency to review and consider all relevant information submitted by the consumer.</w:t>
      </w:r>
    </w:p>
    <w:p w14:paraId="759DA1A6"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Mandatory deletion or modification: Under 15 U.S.C. § 1681i(a)(5)(A), if the disputed address, employer, telephone number, or other item is found to be inaccurate or incomplete, or cannot be verified, the consumer reporting agency must promptly delete the item or modify it as appropriate and promptly notify the furnisher of the modification or deletion.</w:t>
      </w:r>
    </w:p>
    <w:p w14:paraId="3B4F5A49"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Results, reinsertion safeguards, and prior recipients: Under 15 U.S.C. § 1681i(a)(5)(B), deleted information generally may not be reinserted unless the furnisher certifies that it is complete and accurate, and the consumer must receive timely notice of reinsertion. Section 1681i(a)(6) requires written reinvestigation results and a revised consumer report. Under § 1681i(d), the consumer may request notice of a deletion or dispute notation to designated prior recipients, including recipients of employment reports within the preceding two years and other recipients within the preceding six months.</w:t>
      </w:r>
    </w:p>
    <w:p w14:paraId="6E477B75"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Furnisher duties after CRA notice: When an identifiable person furnished the disputed information and receives notice from the consumer reporting agency under 15 U.S.C. § 1681i(a)(2), 15 U.S.C. § 1681s-2(b)(1) generally requires investigation, review of relevant information, reporting of results, and—if the item is inaccurate, incomplete, or unverifiable—prompt modification, deletion, or permanent blocking of the item for reporting purposes.</w:t>
      </w:r>
    </w:p>
    <w:p w14:paraId="475828A5"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 xml:space="preserve">Correct route for address, telephone, and employer disputes: Regulation V, 12 C.F.R. § 1022.43(b)(1)(i)–(ii), excludes identifying information such as telephone numbers and addresses, and the identity of past or present employers, from the regulation’s mandatory direct-dispute investigation procedure for furnishers. The primary dispute should therefore be </w:t>
      </w:r>
      <w:r w:rsidRPr="00566B6A">
        <w:rPr>
          <w:rFonts w:ascii="Courier New" w:hAnsi="Courier New" w:cs="Courier New"/>
          <w:bCs/>
          <w:sz w:val="22"/>
        </w:rPr>
        <w:lastRenderedPageBreak/>
        <w:t>submitted directly to each consumer reporting agency displaying the inaccurate information. A furnisher may still have duties after receiving the dispute through the agency under 15 U.S.C. § 1681s-2(b), where applicable.</w:t>
      </w:r>
    </w:p>
    <w:p w14:paraId="1C1C2693"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Identity-theft blocking: If an address, employer, telephone number, or related entry resulted from identity theft, 15 U.S.C. § 1681c-2(a) generally requires the consumer reporting agency to block reporting of the identified information within four business days after receiving appropriate proof of identity, an identity-theft report, identification of the information, and the consumer’s statement that the information does not relate to a transaction by the consumer.</w:t>
      </w:r>
    </w:p>
    <w:p w14:paraId="7F0086B4"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Practical limitation—no automatic purge of accurate history: The FCRA does not automatically require deletion merely because a former address or employer is old or no longer current. Request modification when an accurate historical item is incorrectly labeled as current. Request deletion when the item is not the consumer’s, is materially inaccurate or incomplete, cannot be verified, reflects a mixed file, or resulted from identity theft. Preserve the report page, proof of current identity and residence, employment records, dispute confirmation, and reinvestigation results.</w:t>
      </w:r>
    </w:p>
    <w:p w14:paraId="523C9529" w14:textId="77777777" w:rsidR="00756B19" w:rsidRPr="00566B6A" w:rsidRDefault="00F247EE" w:rsidP="00566B6A">
      <w:pPr>
        <w:pStyle w:val="Heading2"/>
        <w:spacing w:before="100"/>
        <w:rPr>
          <w:rFonts w:ascii="Courier New" w:hAnsi="Courier New" w:cs="Courier New"/>
          <w:b w:val="0"/>
          <w:color w:val="auto"/>
          <w:sz w:val="22"/>
          <w:szCs w:val="22"/>
        </w:rPr>
      </w:pPr>
      <w:r w:rsidRPr="00566B6A">
        <w:rPr>
          <w:rFonts w:ascii="Courier New" w:eastAsia="Arial" w:hAnsi="Courier New" w:cs="Courier New"/>
          <w:b w:val="0"/>
          <w:color w:val="auto"/>
          <w:sz w:val="22"/>
          <w:szCs w:val="22"/>
        </w:rPr>
        <w:t>Security Freeze / Fraud Alert / Identity Restoration</w:t>
      </w:r>
    </w:p>
    <w:p w14:paraId="793323C7"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Identity theft: MCL 445.65 prohibits specified use or attempted use of another person’s personal identifying information, without consent or lawful authority, to obtain credit, goods, services, money, property, a vital record, confidential information, employment, or other prohibited benefits.</w:t>
      </w:r>
    </w:p>
    <w:p w14:paraId="39F079FC"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Identity-restoration procedure: Preserve police and FTC identity-theft reports, court records, creditor notices, bureau disputes, and security-freeze confirmations. Michigan’s Identity Theft Protection Act also contains procedures addressing police reports, victim records, and related enforcement.</w:t>
      </w:r>
    </w:p>
    <w:p w14:paraId="59849994"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Restoration: Restoration may involve fraud alerts, security freezes, creditor notifications, police or FTC identity-theft reports, and documented dispute trails.</w:t>
      </w:r>
    </w:p>
    <w:p w14:paraId="4F04A539"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Reporting: Maintain police reports, FTC IdentityTheft.gov reports, court orders, freeze confirmations, creditor notices, and agency confirmation numbers.</w:t>
      </w:r>
    </w:p>
    <w:p w14:paraId="0043491D" w14:textId="77777777" w:rsidR="00756B19" w:rsidRPr="00566B6A" w:rsidRDefault="00F247EE" w:rsidP="00566B6A">
      <w:pPr>
        <w:pStyle w:val="Heading2"/>
        <w:spacing w:before="100"/>
        <w:rPr>
          <w:rFonts w:ascii="Courier New" w:hAnsi="Courier New" w:cs="Courier New"/>
          <w:b w:val="0"/>
          <w:color w:val="auto"/>
          <w:sz w:val="22"/>
          <w:szCs w:val="22"/>
        </w:rPr>
      </w:pPr>
      <w:r w:rsidRPr="00566B6A">
        <w:rPr>
          <w:rFonts w:ascii="Courier New" w:eastAsia="Arial" w:hAnsi="Courier New" w:cs="Courier New"/>
          <w:b w:val="0"/>
          <w:color w:val="auto"/>
          <w:sz w:val="22"/>
          <w:szCs w:val="22"/>
        </w:rPr>
        <w:t>Privacy + Data Security + Breach Notification</w:t>
      </w:r>
    </w:p>
    <w:p w14:paraId="30588300"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Breach notice: MCL 445.72 requires a covered person or agency to provide notice after a qualifying security breach when statutory conditions are met, generally without unreasonable delay, subject to investigation, law-enforcement delay, encryption, and other statutory provisions.</w:t>
      </w:r>
    </w:p>
    <w:p w14:paraId="4EA669F2"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lastRenderedPageBreak/>
        <w:t>Article range: Michigan’s Identity Theft Protection Act is codified at MCL 445.61 through 445.79d; security-breach notice duties are principally stated in MCL 445.72.</w:t>
      </w:r>
    </w:p>
    <w:p w14:paraId="613B540F"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Privacy rights: No general omnibus Michigan consumer-data privacy act is identified for this module; sector-specific Michigan and federal privacy rules may apply depending on the holder and type of information.</w:t>
      </w:r>
    </w:p>
    <w:p w14:paraId="3C14B9E9"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Security duties: Covered entities should preserve the breach investigation, data elements involved, notice content, delivery dates, law-enforcement delay requests, agency notices, and remediation documentation.</w:t>
      </w:r>
    </w:p>
    <w:p w14:paraId="022D0028" w14:textId="77777777" w:rsidR="00756B19" w:rsidRPr="00566B6A" w:rsidRDefault="00F247EE" w:rsidP="00566B6A">
      <w:pPr>
        <w:pStyle w:val="Heading2"/>
        <w:spacing w:before="100"/>
        <w:rPr>
          <w:rFonts w:ascii="Courier New" w:hAnsi="Courier New" w:cs="Courier New"/>
          <w:b w:val="0"/>
          <w:color w:val="auto"/>
          <w:sz w:val="22"/>
          <w:szCs w:val="22"/>
        </w:rPr>
      </w:pPr>
      <w:r w:rsidRPr="00566B6A">
        <w:rPr>
          <w:rFonts w:ascii="Courier New" w:eastAsia="Arial" w:hAnsi="Courier New" w:cs="Courier New"/>
          <w:b w:val="0"/>
          <w:color w:val="auto"/>
          <w:sz w:val="22"/>
          <w:szCs w:val="22"/>
        </w:rPr>
        <w:t>STATE AG / Regulator Authority + Policies</w:t>
      </w:r>
    </w:p>
    <w:p w14:paraId="136BB036"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Michigan Attorney General: Consumer Protection Team — consumer complaint intake, MCPA investigation, and enforcement.</w:t>
      </w:r>
    </w:p>
    <w:p w14:paraId="2553CB82"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Michigan Department of Licensing and Regulatory Affairs: Licensing, complaint review, and administrative oversight for collection agencies and other regulated businesses within its jurisdiction.</w:t>
      </w:r>
    </w:p>
    <w:p w14:paraId="1AB2F413"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Michigan law enforcement: Identity-theft reports, investigation, prosecution referrals, and victim-record documentation under applicable Michigan law.</w:t>
      </w:r>
    </w:p>
    <w:p w14:paraId="5E4A3911"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Federal escalation: CFPB and FTC complaint pathways may complement state intake when federal consumer-finance, credit-reporting, or debt-collection law applies.</w:t>
      </w:r>
    </w:p>
    <w:p w14:paraId="607C3BE8" w14:textId="77777777" w:rsidR="00756B19" w:rsidRPr="00566B6A" w:rsidRDefault="00F247EE" w:rsidP="00566B6A">
      <w:pPr>
        <w:pStyle w:val="Heading2"/>
        <w:spacing w:before="100"/>
        <w:rPr>
          <w:rFonts w:ascii="Courier New" w:hAnsi="Courier New" w:cs="Courier New"/>
          <w:b w:val="0"/>
          <w:color w:val="auto"/>
          <w:sz w:val="22"/>
          <w:szCs w:val="22"/>
        </w:rPr>
      </w:pPr>
      <w:r w:rsidRPr="00566B6A">
        <w:rPr>
          <w:rFonts w:ascii="Courier New" w:eastAsia="Arial" w:hAnsi="Courier New" w:cs="Courier New"/>
          <w:b w:val="0"/>
          <w:color w:val="auto"/>
          <w:sz w:val="22"/>
          <w:szCs w:val="22"/>
        </w:rPr>
        <w:t>Local Ordinances</w:t>
      </w:r>
    </w:p>
    <w:p w14:paraId="1913215B" w14:textId="77777777" w:rsidR="00756B19" w:rsidRPr="00566B6A" w:rsidRDefault="00F247EE" w:rsidP="00566B6A">
      <w:pPr>
        <w:spacing w:after="0"/>
        <w:rPr>
          <w:rFonts w:ascii="Courier New" w:hAnsi="Courier New" w:cs="Courier New"/>
          <w:bCs/>
          <w:sz w:val="22"/>
        </w:rPr>
      </w:pPr>
      <w:r w:rsidRPr="00566B6A">
        <w:rPr>
          <w:rFonts w:ascii="Courier New" w:hAnsi="Courier New" w:cs="Courier New"/>
          <w:bCs/>
          <w:sz w:val="22"/>
        </w:rPr>
        <w:t>Local ordinances are not typically the controlling authority for credit-reporting disputes; none are identified as directly applicable in Michigan without municipal verification.</w:t>
      </w:r>
    </w:p>
    <w:p w14:paraId="0E67A78E" w14:textId="77777777" w:rsidR="00566B6A" w:rsidRPr="00566B6A" w:rsidRDefault="00566B6A" w:rsidP="00566B6A">
      <w:pPr>
        <w:spacing w:after="0"/>
        <w:rPr>
          <w:rFonts w:ascii="Courier New" w:hAnsi="Courier New" w:cs="Courier New"/>
          <w:bCs/>
          <w:sz w:val="22"/>
        </w:rPr>
      </w:pPr>
    </w:p>
    <w:p w14:paraId="0DF34D05"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State Authority Table</w:t>
      </w:r>
    </w:p>
    <w:tbl>
      <w:tblPr>
        <w:tblStyle w:val="TableGrid"/>
        <w:tblW w:w="0" w:type="auto"/>
        <w:jc w:val="center"/>
        <w:tblLayout w:type="fixed"/>
        <w:tblLook w:val="04A0" w:firstRow="1" w:lastRow="0" w:firstColumn="1" w:lastColumn="0" w:noHBand="0" w:noVBand="1"/>
      </w:tblPr>
      <w:tblGrid>
        <w:gridCol w:w="1440"/>
        <w:gridCol w:w="2448"/>
        <w:gridCol w:w="3168"/>
        <w:gridCol w:w="3456"/>
        <w:gridCol w:w="3888"/>
      </w:tblGrid>
      <w:tr w:rsidR="00756B19" w:rsidRPr="00566B6A" w14:paraId="68DB9D13" w14:textId="77777777">
        <w:trPr>
          <w:cantSplit/>
          <w:tblHeader/>
          <w:jc w:val="center"/>
        </w:trPr>
        <w:tc>
          <w:tcPr>
            <w:tcW w:w="1440" w:type="dxa"/>
            <w:shd w:val="clear" w:color="auto" w:fill="D9EAF7"/>
            <w:tcMar>
              <w:top w:w="55" w:type="dxa"/>
              <w:left w:w="55" w:type="dxa"/>
              <w:bottom w:w="55" w:type="dxa"/>
              <w:right w:w="55" w:type="dxa"/>
            </w:tcMar>
            <w:vAlign w:val="center"/>
          </w:tcPr>
          <w:p w14:paraId="49DE6BB1"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Type</w:t>
            </w:r>
          </w:p>
        </w:tc>
        <w:tc>
          <w:tcPr>
            <w:tcW w:w="2448" w:type="dxa"/>
            <w:shd w:val="clear" w:color="auto" w:fill="D9EAF7"/>
            <w:tcMar>
              <w:top w:w="55" w:type="dxa"/>
              <w:left w:w="55" w:type="dxa"/>
              <w:bottom w:w="55" w:type="dxa"/>
              <w:right w:w="55" w:type="dxa"/>
            </w:tcMar>
            <w:vAlign w:val="center"/>
          </w:tcPr>
          <w:p w14:paraId="74D64BF3"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Citation</w:t>
            </w:r>
          </w:p>
        </w:tc>
        <w:tc>
          <w:tcPr>
            <w:tcW w:w="3168" w:type="dxa"/>
            <w:shd w:val="clear" w:color="auto" w:fill="D9EAF7"/>
            <w:tcMar>
              <w:top w:w="55" w:type="dxa"/>
              <w:left w:w="55" w:type="dxa"/>
              <w:bottom w:w="55" w:type="dxa"/>
              <w:right w:w="55" w:type="dxa"/>
            </w:tcMar>
            <w:vAlign w:val="center"/>
          </w:tcPr>
          <w:p w14:paraId="5C2CA3A2"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What it Covers</w:t>
            </w:r>
          </w:p>
        </w:tc>
        <w:tc>
          <w:tcPr>
            <w:tcW w:w="3456" w:type="dxa"/>
            <w:shd w:val="clear" w:color="auto" w:fill="D9EAF7"/>
            <w:tcMar>
              <w:top w:w="55" w:type="dxa"/>
              <w:left w:w="55" w:type="dxa"/>
              <w:bottom w:w="55" w:type="dxa"/>
              <w:right w:w="55" w:type="dxa"/>
            </w:tcMar>
            <w:vAlign w:val="center"/>
          </w:tcPr>
          <w:p w14:paraId="378E6F85"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Remedies / Relief</w:t>
            </w:r>
          </w:p>
        </w:tc>
        <w:tc>
          <w:tcPr>
            <w:tcW w:w="3888" w:type="dxa"/>
            <w:shd w:val="clear" w:color="auto" w:fill="D9EAF7"/>
            <w:tcMar>
              <w:top w:w="55" w:type="dxa"/>
              <w:left w:w="55" w:type="dxa"/>
              <w:bottom w:w="55" w:type="dxa"/>
              <w:right w:w="55" w:type="dxa"/>
            </w:tcMar>
            <w:vAlign w:val="center"/>
          </w:tcPr>
          <w:p w14:paraId="6E5909D8"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How it Supports Record-Building</w:t>
            </w:r>
          </w:p>
        </w:tc>
      </w:tr>
      <w:tr w:rsidR="00756B19" w:rsidRPr="00566B6A" w14:paraId="6FE1F95B" w14:textId="77777777">
        <w:trPr>
          <w:cantSplit/>
          <w:jc w:val="center"/>
        </w:trPr>
        <w:tc>
          <w:tcPr>
            <w:tcW w:w="1440" w:type="dxa"/>
            <w:tcMar>
              <w:top w:w="50" w:type="dxa"/>
              <w:left w:w="55" w:type="dxa"/>
              <w:bottom w:w="50" w:type="dxa"/>
              <w:right w:w="55" w:type="dxa"/>
            </w:tcMar>
          </w:tcPr>
          <w:p w14:paraId="4C25DA9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Statute/</w:t>
            </w:r>
            <w:r w:rsidRPr="00566B6A">
              <w:rPr>
                <w:rFonts w:ascii="Courier New" w:hAnsi="Courier New" w:cs="Courier New"/>
                <w:sz w:val="22"/>
              </w:rPr>
              <w:br/>
              <w:t>Act</w:t>
            </w:r>
          </w:p>
        </w:tc>
        <w:tc>
          <w:tcPr>
            <w:tcW w:w="2448" w:type="dxa"/>
            <w:tcMar>
              <w:top w:w="50" w:type="dxa"/>
              <w:left w:w="55" w:type="dxa"/>
              <w:bottom w:w="50" w:type="dxa"/>
              <w:right w:w="55" w:type="dxa"/>
            </w:tcMar>
          </w:tcPr>
          <w:p w14:paraId="6340846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MCL 445.901–445.922</w:t>
            </w:r>
          </w:p>
        </w:tc>
        <w:tc>
          <w:tcPr>
            <w:tcW w:w="3168" w:type="dxa"/>
            <w:tcMar>
              <w:top w:w="50" w:type="dxa"/>
              <w:left w:w="55" w:type="dxa"/>
              <w:bottom w:w="50" w:type="dxa"/>
              <w:right w:w="55" w:type="dxa"/>
            </w:tcMar>
          </w:tcPr>
          <w:p w14:paraId="3D24A602"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MCPA — unfair, unconscionable, or deceptive practices</w:t>
            </w:r>
          </w:p>
        </w:tc>
        <w:tc>
          <w:tcPr>
            <w:tcW w:w="3456" w:type="dxa"/>
            <w:tcMar>
              <w:top w:w="50" w:type="dxa"/>
              <w:left w:w="55" w:type="dxa"/>
              <w:bottom w:w="50" w:type="dxa"/>
              <w:right w:w="55" w:type="dxa"/>
            </w:tcMar>
          </w:tcPr>
          <w:p w14:paraId="420169DA"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Actual damages or $250; attorney’s fees; equitable relief; AG enforcement</w:t>
            </w:r>
          </w:p>
        </w:tc>
        <w:tc>
          <w:tcPr>
            <w:tcW w:w="3888" w:type="dxa"/>
            <w:tcMar>
              <w:top w:w="50" w:type="dxa"/>
              <w:left w:w="55" w:type="dxa"/>
              <w:bottom w:w="50" w:type="dxa"/>
              <w:right w:w="55" w:type="dxa"/>
            </w:tcMar>
          </w:tcPr>
          <w:p w14:paraId="4B46A2D7"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Transaction; representation or omission; loss; causation; exemption review; six-year timing</w:t>
            </w:r>
          </w:p>
        </w:tc>
      </w:tr>
      <w:tr w:rsidR="00756B19" w:rsidRPr="00566B6A" w14:paraId="2B74E5E6" w14:textId="77777777">
        <w:trPr>
          <w:cantSplit/>
          <w:jc w:val="center"/>
        </w:trPr>
        <w:tc>
          <w:tcPr>
            <w:tcW w:w="1440" w:type="dxa"/>
            <w:shd w:val="clear" w:color="auto" w:fill="F7FAFC"/>
            <w:tcMar>
              <w:top w:w="50" w:type="dxa"/>
              <w:left w:w="55" w:type="dxa"/>
              <w:bottom w:w="50" w:type="dxa"/>
              <w:right w:w="55" w:type="dxa"/>
            </w:tcMar>
          </w:tcPr>
          <w:p w14:paraId="4B27FD70"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Statute/</w:t>
            </w:r>
            <w:r w:rsidRPr="00566B6A">
              <w:rPr>
                <w:rFonts w:ascii="Courier New" w:hAnsi="Courier New" w:cs="Courier New"/>
                <w:sz w:val="22"/>
              </w:rPr>
              <w:br/>
              <w:t>Act</w:t>
            </w:r>
          </w:p>
        </w:tc>
        <w:tc>
          <w:tcPr>
            <w:tcW w:w="2448" w:type="dxa"/>
            <w:shd w:val="clear" w:color="auto" w:fill="F7FAFC"/>
            <w:tcMar>
              <w:top w:w="50" w:type="dxa"/>
              <w:left w:w="55" w:type="dxa"/>
              <w:bottom w:w="50" w:type="dxa"/>
              <w:right w:w="55" w:type="dxa"/>
            </w:tcMar>
          </w:tcPr>
          <w:p w14:paraId="58328262"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MCL 445.251–445.258</w:t>
            </w:r>
          </w:p>
        </w:tc>
        <w:tc>
          <w:tcPr>
            <w:tcW w:w="3168" w:type="dxa"/>
            <w:shd w:val="clear" w:color="auto" w:fill="F7FAFC"/>
            <w:tcMar>
              <w:top w:w="50" w:type="dxa"/>
              <w:left w:w="55" w:type="dxa"/>
              <w:bottom w:w="50" w:type="dxa"/>
              <w:right w:w="55" w:type="dxa"/>
            </w:tcMar>
          </w:tcPr>
          <w:p w14:paraId="24C0DB7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Regulated collection conduct and prohibited practices</w:t>
            </w:r>
          </w:p>
        </w:tc>
        <w:tc>
          <w:tcPr>
            <w:tcW w:w="3456" w:type="dxa"/>
            <w:shd w:val="clear" w:color="auto" w:fill="F7FAFC"/>
            <w:tcMar>
              <w:top w:w="50" w:type="dxa"/>
              <w:left w:w="55" w:type="dxa"/>
              <w:bottom w:w="50" w:type="dxa"/>
              <w:right w:w="55" w:type="dxa"/>
            </w:tcMar>
          </w:tcPr>
          <w:p w14:paraId="15B14E3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Damages or equitable relief; fees; injunctions; fines and enforcement</w:t>
            </w:r>
          </w:p>
        </w:tc>
        <w:tc>
          <w:tcPr>
            <w:tcW w:w="3888" w:type="dxa"/>
            <w:shd w:val="clear" w:color="auto" w:fill="F7FAFC"/>
            <w:tcMar>
              <w:top w:w="50" w:type="dxa"/>
              <w:left w:w="55" w:type="dxa"/>
              <w:bottom w:w="50" w:type="dxa"/>
              <w:right w:w="55" w:type="dxa"/>
            </w:tcMar>
          </w:tcPr>
          <w:p w14:paraId="4E123480"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Collector status; communications; amount; dispute; payment record; damages</w:t>
            </w:r>
          </w:p>
        </w:tc>
      </w:tr>
      <w:tr w:rsidR="00756B19" w:rsidRPr="00566B6A" w14:paraId="2E7F3F76" w14:textId="77777777">
        <w:trPr>
          <w:cantSplit/>
          <w:jc w:val="center"/>
        </w:trPr>
        <w:tc>
          <w:tcPr>
            <w:tcW w:w="1440" w:type="dxa"/>
            <w:tcMar>
              <w:top w:w="50" w:type="dxa"/>
              <w:left w:w="55" w:type="dxa"/>
              <w:bottom w:w="50" w:type="dxa"/>
              <w:right w:w="55" w:type="dxa"/>
            </w:tcMar>
          </w:tcPr>
          <w:p w14:paraId="3EA4626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lastRenderedPageBreak/>
              <w:t>Statute/</w:t>
            </w:r>
            <w:r w:rsidRPr="00566B6A">
              <w:rPr>
                <w:rFonts w:ascii="Courier New" w:hAnsi="Courier New" w:cs="Courier New"/>
                <w:sz w:val="22"/>
              </w:rPr>
              <w:br/>
              <w:t>Act</w:t>
            </w:r>
          </w:p>
        </w:tc>
        <w:tc>
          <w:tcPr>
            <w:tcW w:w="2448" w:type="dxa"/>
            <w:tcMar>
              <w:top w:w="50" w:type="dxa"/>
              <w:left w:w="55" w:type="dxa"/>
              <w:bottom w:w="50" w:type="dxa"/>
              <w:right w:w="55" w:type="dxa"/>
            </w:tcMar>
          </w:tcPr>
          <w:p w14:paraId="435FC59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MCL 445.2511–445.2542</w:t>
            </w:r>
          </w:p>
        </w:tc>
        <w:tc>
          <w:tcPr>
            <w:tcW w:w="3168" w:type="dxa"/>
            <w:tcMar>
              <w:top w:w="50" w:type="dxa"/>
              <w:left w:w="55" w:type="dxa"/>
              <w:bottom w:w="50" w:type="dxa"/>
              <w:right w:w="55" w:type="dxa"/>
            </w:tcMar>
          </w:tcPr>
          <w:p w14:paraId="4C2BDFD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Security freezes and restricted release of consumer reports</w:t>
            </w:r>
          </w:p>
        </w:tc>
        <w:tc>
          <w:tcPr>
            <w:tcW w:w="3456" w:type="dxa"/>
            <w:tcMar>
              <w:top w:w="50" w:type="dxa"/>
              <w:left w:w="55" w:type="dxa"/>
              <w:bottom w:w="50" w:type="dxa"/>
              <w:right w:w="55" w:type="dxa"/>
            </w:tcMar>
          </w:tcPr>
          <w:p w14:paraId="4A37E8FE"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Civil and administrative remedies subject to statutory terms</w:t>
            </w:r>
          </w:p>
        </w:tc>
        <w:tc>
          <w:tcPr>
            <w:tcW w:w="3888" w:type="dxa"/>
            <w:tcMar>
              <w:top w:w="50" w:type="dxa"/>
              <w:left w:w="55" w:type="dxa"/>
              <w:bottom w:w="50" w:type="dxa"/>
              <w:right w:w="55" w:type="dxa"/>
            </w:tcMar>
          </w:tcPr>
          <w:p w14:paraId="5DF22B9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Freeze request; confirmation; lift or removal record; unauthorized release; damages</w:t>
            </w:r>
          </w:p>
        </w:tc>
      </w:tr>
      <w:tr w:rsidR="00756B19" w:rsidRPr="00566B6A" w14:paraId="7D717879" w14:textId="77777777">
        <w:trPr>
          <w:cantSplit/>
          <w:jc w:val="center"/>
        </w:trPr>
        <w:tc>
          <w:tcPr>
            <w:tcW w:w="1440" w:type="dxa"/>
            <w:shd w:val="clear" w:color="auto" w:fill="F7FAFC"/>
            <w:tcMar>
              <w:top w:w="50" w:type="dxa"/>
              <w:left w:w="55" w:type="dxa"/>
              <w:bottom w:w="50" w:type="dxa"/>
              <w:right w:w="55" w:type="dxa"/>
            </w:tcMar>
          </w:tcPr>
          <w:p w14:paraId="62B25227"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Statute/</w:t>
            </w:r>
            <w:r w:rsidRPr="00566B6A">
              <w:rPr>
                <w:rFonts w:ascii="Courier New" w:hAnsi="Courier New" w:cs="Courier New"/>
                <w:sz w:val="22"/>
              </w:rPr>
              <w:br/>
              <w:t>Act</w:t>
            </w:r>
          </w:p>
        </w:tc>
        <w:tc>
          <w:tcPr>
            <w:tcW w:w="2448" w:type="dxa"/>
            <w:shd w:val="clear" w:color="auto" w:fill="F7FAFC"/>
            <w:tcMar>
              <w:top w:w="50" w:type="dxa"/>
              <w:left w:w="55" w:type="dxa"/>
              <w:bottom w:w="50" w:type="dxa"/>
              <w:right w:w="55" w:type="dxa"/>
            </w:tcMar>
          </w:tcPr>
          <w:p w14:paraId="6E069C8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MCL 445.72</w:t>
            </w:r>
          </w:p>
        </w:tc>
        <w:tc>
          <w:tcPr>
            <w:tcW w:w="3168" w:type="dxa"/>
            <w:shd w:val="clear" w:color="auto" w:fill="F7FAFC"/>
            <w:tcMar>
              <w:top w:w="50" w:type="dxa"/>
              <w:left w:w="55" w:type="dxa"/>
              <w:bottom w:w="50" w:type="dxa"/>
              <w:right w:w="55" w:type="dxa"/>
            </w:tcMar>
          </w:tcPr>
          <w:p w14:paraId="0EAFB24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Security-breach investigation and consumer notice</w:t>
            </w:r>
          </w:p>
        </w:tc>
        <w:tc>
          <w:tcPr>
            <w:tcW w:w="3456" w:type="dxa"/>
            <w:shd w:val="clear" w:color="auto" w:fill="F7FAFC"/>
            <w:tcMar>
              <w:top w:w="50" w:type="dxa"/>
              <w:left w:w="55" w:type="dxa"/>
              <w:bottom w:w="50" w:type="dxa"/>
              <w:right w:w="55" w:type="dxa"/>
            </w:tcMar>
          </w:tcPr>
          <w:p w14:paraId="0556E8F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Attorney General enforcement, civil fines, and statutory compliance measures</w:t>
            </w:r>
          </w:p>
        </w:tc>
        <w:tc>
          <w:tcPr>
            <w:tcW w:w="3888" w:type="dxa"/>
            <w:shd w:val="clear" w:color="auto" w:fill="F7FAFC"/>
            <w:tcMar>
              <w:top w:w="50" w:type="dxa"/>
              <w:left w:w="55" w:type="dxa"/>
              <w:bottom w:w="50" w:type="dxa"/>
              <w:right w:w="55" w:type="dxa"/>
            </w:tcMar>
          </w:tcPr>
          <w:p w14:paraId="72352FA3"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Breach notice; dates; data elements; investigation and remediation records</w:t>
            </w:r>
          </w:p>
        </w:tc>
      </w:tr>
      <w:tr w:rsidR="00756B19" w:rsidRPr="00566B6A" w14:paraId="78460C98" w14:textId="77777777">
        <w:trPr>
          <w:cantSplit/>
          <w:jc w:val="center"/>
        </w:trPr>
        <w:tc>
          <w:tcPr>
            <w:tcW w:w="1440" w:type="dxa"/>
            <w:tcMar>
              <w:top w:w="50" w:type="dxa"/>
              <w:left w:w="55" w:type="dxa"/>
              <w:bottom w:w="50" w:type="dxa"/>
              <w:right w:w="55" w:type="dxa"/>
            </w:tcMar>
          </w:tcPr>
          <w:p w14:paraId="0527A85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Statute/</w:t>
            </w:r>
            <w:r w:rsidRPr="00566B6A">
              <w:rPr>
                <w:rFonts w:ascii="Courier New" w:hAnsi="Courier New" w:cs="Courier New"/>
                <w:sz w:val="22"/>
              </w:rPr>
              <w:br/>
              <w:t>Act</w:t>
            </w:r>
          </w:p>
        </w:tc>
        <w:tc>
          <w:tcPr>
            <w:tcW w:w="2448" w:type="dxa"/>
            <w:tcMar>
              <w:top w:w="50" w:type="dxa"/>
              <w:left w:w="55" w:type="dxa"/>
              <w:bottom w:w="50" w:type="dxa"/>
              <w:right w:w="55" w:type="dxa"/>
            </w:tcMar>
          </w:tcPr>
          <w:p w14:paraId="5D71676B"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MCL 445.65</w:t>
            </w:r>
          </w:p>
        </w:tc>
        <w:tc>
          <w:tcPr>
            <w:tcW w:w="3168" w:type="dxa"/>
            <w:tcMar>
              <w:top w:w="50" w:type="dxa"/>
              <w:left w:w="55" w:type="dxa"/>
              <w:bottom w:w="50" w:type="dxa"/>
              <w:right w:w="55" w:type="dxa"/>
            </w:tcMar>
          </w:tcPr>
          <w:p w14:paraId="629969F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Identity theft and prohibited use of identifying information</w:t>
            </w:r>
          </w:p>
        </w:tc>
        <w:tc>
          <w:tcPr>
            <w:tcW w:w="3456" w:type="dxa"/>
            <w:tcMar>
              <w:top w:w="50" w:type="dxa"/>
              <w:left w:w="55" w:type="dxa"/>
              <w:bottom w:w="50" w:type="dxa"/>
              <w:right w:w="55" w:type="dxa"/>
            </w:tcMar>
          </w:tcPr>
          <w:p w14:paraId="3282C00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Criminal penalties and restitution-related relief</w:t>
            </w:r>
          </w:p>
        </w:tc>
        <w:tc>
          <w:tcPr>
            <w:tcW w:w="3888" w:type="dxa"/>
            <w:tcMar>
              <w:top w:w="50" w:type="dxa"/>
              <w:left w:w="55" w:type="dxa"/>
              <w:bottom w:w="50" w:type="dxa"/>
              <w:right w:w="55" w:type="dxa"/>
            </w:tcMar>
          </w:tcPr>
          <w:p w14:paraId="5D0DDF8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Police/FTC report; identity affidavit; creditor and bureau notices; court records</w:t>
            </w:r>
          </w:p>
        </w:tc>
      </w:tr>
      <w:tr w:rsidR="00756B19" w:rsidRPr="00566B6A" w14:paraId="4D1F75C6" w14:textId="77777777">
        <w:trPr>
          <w:cantSplit/>
          <w:jc w:val="center"/>
        </w:trPr>
        <w:tc>
          <w:tcPr>
            <w:tcW w:w="1440" w:type="dxa"/>
            <w:shd w:val="clear" w:color="auto" w:fill="F7FAFC"/>
            <w:tcMar>
              <w:top w:w="50" w:type="dxa"/>
              <w:left w:w="55" w:type="dxa"/>
              <w:bottom w:w="50" w:type="dxa"/>
              <w:right w:w="55" w:type="dxa"/>
            </w:tcMar>
          </w:tcPr>
          <w:p w14:paraId="325E246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Policy</w:t>
            </w:r>
          </w:p>
        </w:tc>
        <w:tc>
          <w:tcPr>
            <w:tcW w:w="2448" w:type="dxa"/>
            <w:shd w:val="clear" w:color="auto" w:fill="F7FAFC"/>
            <w:tcMar>
              <w:top w:w="50" w:type="dxa"/>
              <w:left w:w="55" w:type="dxa"/>
              <w:bottom w:w="50" w:type="dxa"/>
              <w:right w:w="55" w:type="dxa"/>
            </w:tcMar>
          </w:tcPr>
          <w:p w14:paraId="60A7163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Michigan AG — Consumer Protection Team</w:t>
            </w:r>
          </w:p>
        </w:tc>
        <w:tc>
          <w:tcPr>
            <w:tcW w:w="3168" w:type="dxa"/>
            <w:shd w:val="clear" w:color="auto" w:fill="F7FAFC"/>
            <w:tcMar>
              <w:top w:w="50" w:type="dxa"/>
              <w:left w:w="55" w:type="dxa"/>
              <w:bottom w:w="50" w:type="dxa"/>
              <w:right w:w="55" w:type="dxa"/>
            </w:tcMar>
          </w:tcPr>
          <w:p w14:paraId="050C7941"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Consumer complaints and MCPA enforcement</w:t>
            </w:r>
          </w:p>
        </w:tc>
        <w:tc>
          <w:tcPr>
            <w:tcW w:w="3456" w:type="dxa"/>
            <w:shd w:val="clear" w:color="auto" w:fill="F7FAFC"/>
            <w:tcMar>
              <w:top w:w="50" w:type="dxa"/>
              <w:left w:w="55" w:type="dxa"/>
              <w:bottom w:w="50" w:type="dxa"/>
              <w:right w:w="55" w:type="dxa"/>
            </w:tcMar>
          </w:tcPr>
          <w:p w14:paraId="4A945F5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Investigation, voluntary compliance, injunction, restitution, or civil enforcement</w:t>
            </w:r>
          </w:p>
        </w:tc>
        <w:tc>
          <w:tcPr>
            <w:tcW w:w="3888" w:type="dxa"/>
            <w:shd w:val="clear" w:color="auto" w:fill="F7FAFC"/>
            <w:tcMar>
              <w:top w:w="50" w:type="dxa"/>
              <w:left w:w="55" w:type="dxa"/>
              <w:bottom w:w="50" w:type="dxa"/>
              <w:right w:w="55" w:type="dxa"/>
            </w:tcMar>
          </w:tcPr>
          <w:p w14:paraId="391A9DAB"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Complaint ID; attachments; agency response; chronology</w:t>
            </w:r>
          </w:p>
        </w:tc>
      </w:tr>
      <w:tr w:rsidR="00756B19" w:rsidRPr="00566B6A" w14:paraId="41D89716" w14:textId="77777777">
        <w:trPr>
          <w:cantSplit/>
          <w:jc w:val="center"/>
        </w:trPr>
        <w:tc>
          <w:tcPr>
            <w:tcW w:w="1440" w:type="dxa"/>
            <w:tcMar>
              <w:top w:w="50" w:type="dxa"/>
              <w:left w:w="55" w:type="dxa"/>
              <w:bottom w:w="50" w:type="dxa"/>
              <w:right w:w="55" w:type="dxa"/>
            </w:tcMar>
          </w:tcPr>
          <w:p w14:paraId="4AF5FFC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Regulator</w:t>
            </w:r>
          </w:p>
        </w:tc>
        <w:tc>
          <w:tcPr>
            <w:tcW w:w="2448" w:type="dxa"/>
            <w:tcMar>
              <w:top w:w="50" w:type="dxa"/>
              <w:left w:w="55" w:type="dxa"/>
              <w:bottom w:w="50" w:type="dxa"/>
              <w:right w:w="55" w:type="dxa"/>
            </w:tcMar>
          </w:tcPr>
          <w:p w14:paraId="5A63314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Michigan LARA / Attorney General</w:t>
            </w:r>
          </w:p>
        </w:tc>
        <w:tc>
          <w:tcPr>
            <w:tcW w:w="3168" w:type="dxa"/>
            <w:tcMar>
              <w:top w:w="50" w:type="dxa"/>
              <w:left w:w="55" w:type="dxa"/>
              <w:bottom w:w="50" w:type="dxa"/>
              <w:right w:w="55" w:type="dxa"/>
            </w:tcMar>
          </w:tcPr>
          <w:p w14:paraId="2A65D6B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Collection agencies and regulated consumer activity</w:t>
            </w:r>
          </w:p>
        </w:tc>
        <w:tc>
          <w:tcPr>
            <w:tcW w:w="3456" w:type="dxa"/>
            <w:tcMar>
              <w:top w:w="50" w:type="dxa"/>
              <w:left w:w="55" w:type="dxa"/>
              <w:bottom w:w="50" w:type="dxa"/>
              <w:right w:w="55" w:type="dxa"/>
            </w:tcMar>
          </w:tcPr>
          <w:p w14:paraId="1FEB229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Licensing, complaint review, discipline, or enforcement where authorized</w:t>
            </w:r>
          </w:p>
        </w:tc>
        <w:tc>
          <w:tcPr>
            <w:tcW w:w="3888" w:type="dxa"/>
            <w:tcMar>
              <w:top w:w="50" w:type="dxa"/>
              <w:left w:w="55" w:type="dxa"/>
              <w:bottom w:w="50" w:type="dxa"/>
              <w:right w:w="55" w:type="dxa"/>
            </w:tcMar>
          </w:tcPr>
          <w:p w14:paraId="1A9ADB37"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License lookup; complaint file; regulator correspondence</w:t>
            </w:r>
          </w:p>
        </w:tc>
      </w:tr>
      <w:tr w:rsidR="00756B19" w:rsidRPr="00566B6A" w14:paraId="2D9A5252" w14:textId="77777777">
        <w:trPr>
          <w:cantSplit/>
          <w:jc w:val="center"/>
        </w:trPr>
        <w:tc>
          <w:tcPr>
            <w:tcW w:w="1440" w:type="dxa"/>
            <w:shd w:val="clear" w:color="auto" w:fill="F7FAFC"/>
            <w:tcMar>
              <w:top w:w="50" w:type="dxa"/>
              <w:left w:w="55" w:type="dxa"/>
              <w:bottom w:w="50" w:type="dxa"/>
              <w:right w:w="55" w:type="dxa"/>
            </w:tcMar>
          </w:tcPr>
          <w:p w14:paraId="2D28F31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Ordinance</w:t>
            </w:r>
          </w:p>
        </w:tc>
        <w:tc>
          <w:tcPr>
            <w:tcW w:w="2448" w:type="dxa"/>
            <w:shd w:val="clear" w:color="auto" w:fill="F7FAFC"/>
            <w:tcMar>
              <w:top w:w="50" w:type="dxa"/>
              <w:left w:w="55" w:type="dxa"/>
              <w:bottom w:w="50" w:type="dxa"/>
              <w:right w:w="55" w:type="dxa"/>
            </w:tcMar>
          </w:tcPr>
          <w:p w14:paraId="1703B4B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Verification Required</w:t>
            </w:r>
          </w:p>
        </w:tc>
        <w:tc>
          <w:tcPr>
            <w:tcW w:w="3168" w:type="dxa"/>
            <w:shd w:val="clear" w:color="auto" w:fill="F7FAFC"/>
            <w:tcMar>
              <w:top w:w="50" w:type="dxa"/>
              <w:left w:w="55" w:type="dxa"/>
              <w:bottom w:w="50" w:type="dxa"/>
              <w:right w:w="55" w:type="dxa"/>
            </w:tcMar>
          </w:tcPr>
          <w:p w14:paraId="0438C320"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Municipal consumer-affairs codes</w:t>
            </w:r>
          </w:p>
        </w:tc>
        <w:tc>
          <w:tcPr>
            <w:tcW w:w="3456" w:type="dxa"/>
            <w:shd w:val="clear" w:color="auto" w:fill="F7FAFC"/>
            <w:tcMar>
              <w:top w:w="50" w:type="dxa"/>
              <w:left w:w="55" w:type="dxa"/>
              <w:bottom w:w="50" w:type="dxa"/>
              <w:right w:w="55" w:type="dxa"/>
            </w:tcMar>
          </w:tcPr>
          <w:p w14:paraId="10A252A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Verification Required</w:t>
            </w:r>
          </w:p>
        </w:tc>
        <w:tc>
          <w:tcPr>
            <w:tcW w:w="3888" w:type="dxa"/>
            <w:shd w:val="clear" w:color="auto" w:fill="F7FAFC"/>
            <w:tcMar>
              <w:top w:w="50" w:type="dxa"/>
              <w:left w:w="55" w:type="dxa"/>
              <w:bottom w:w="50" w:type="dxa"/>
              <w:right w:w="55" w:type="dxa"/>
            </w:tcMar>
          </w:tcPr>
          <w:p w14:paraId="3E49BB11"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Secondary to Michigan and federal frameworks</w:t>
            </w:r>
          </w:p>
        </w:tc>
      </w:tr>
      <w:tr w:rsidR="00756B19" w:rsidRPr="00566B6A" w14:paraId="11219014" w14:textId="77777777">
        <w:trPr>
          <w:jc w:val="center"/>
        </w:trPr>
        <w:tc>
          <w:tcPr>
            <w:tcW w:w="1440" w:type="dxa"/>
          </w:tcPr>
          <w:p w14:paraId="1454D0C9" w14:textId="77777777" w:rsidR="00756B19" w:rsidRPr="00566B6A" w:rsidRDefault="00F247EE">
            <w:pPr>
              <w:rPr>
                <w:rFonts w:ascii="Courier New" w:hAnsi="Courier New" w:cs="Courier New"/>
                <w:sz w:val="22"/>
              </w:rPr>
            </w:pPr>
            <w:r w:rsidRPr="00566B6A">
              <w:rPr>
                <w:rFonts w:ascii="Courier New" w:hAnsi="Courier New" w:cs="Courier New"/>
                <w:sz w:val="22"/>
              </w:rPr>
              <w:t>Federal Statute</w:t>
            </w:r>
          </w:p>
        </w:tc>
        <w:tc>
          <w:tcPr>
            <w:tcW w:w="2448" w:type="dxa"/>
          </w:tcPr>
          <w:p w14:paraId="14DA5CF4" w14:textId="77777777" w:rsidR="00756B19" w:rsidRPr="00566B6A" w:rsidRDefault="00F247EE">
            <w:pPr>
              <w:rPr>
                <w:rFonts w:ascii="Courier New" w:hAnsi="Courier New" w:cs="Courier New"/>
                <w:sz w:val="22"/>
              </w:rPr>
            </w:pPr>
            <w:r w:rsidRPr="00566B6A">
              <w:rPr>
                <w:rFonts w:ascii="Courier New" w:hAnsi="Courier New" w:cs="Courier New"/>
                <w:sz w:val="22"/>
              </w:rPr>
              <w:t>15 U.S.C. §§ 1681a(g), 1681e(b), 1681g(a), 1681i(a), (d)</w:t>
            </w:r>
          </w:p>
        </w:tc>
        <w:tc>
          <w:tcPr>
            <w:tcW w:w="3168" w:type="dxa"/>
          </w:tcPr>
          <w:p w14:paraId="182CBD62" w14:textId="77777777" w:rsidR="00756B19" w:rsidRPr="00566B6A" w:rsidRDefault="00F247EE">
            <w:pPr>
              <w:rPr>
                <w:rFonts w:ascii="Courier New" w:hAnsi="Courier New" w:cs="Courier New"/>
                <w:sz w:val="22"/>
              </w:rPr>
            </w:pPr>
            <w:r w:rsidRPr="00566B6A">
              <w:rPr>
                <w:rFonts w:ascii="Courier New" w:hAnsi="Courier New" w:cs="Courier New"/>
                <w:sz w:val="22"/>
              </w:rPr>
              <w:t>Personal identifiers and employer information in the consumer file; disclosure, accuracy, reinvestigation, correction, and deletion</w:t>
            </w:r>
          </w:p>
        </w:tc>
        <w:tc>
          <w:tcPr>
            <w:tcW w:w="3456" w:type="dxa"/>
          </w:tcPr>
          <w:p w14:paraId="076A09AF" w14:textId="77777777" w:rsidR="00756B19" w:rsidRPr="00566B6A" w:rsidRDefault="00F247EE">
            <w:pPr>
              <w:rPr>
                <w:rFonts w:ascii="Courier New" w:hAnsi="Courier New" w:cs="Courier New"/>
                <w:sz w:val="22"/>
              </w:rPr>
            </w:pPr>
            <w:r w:rsidRPr="00566B6A">
              <w:rPr>
                <w:rFonts w:ascii="Courier New" w:hAnsi="Courier New" w:cs="Courier New"/>
                <w:sz w:val="22"/>
              </w:rPr>
              <w:t>Free reasonable reinvestigation; revised report; prompt deletion or modification of inaccurate, incomplete, or unverifiable information; reinsertion safeguards</w:t>
            </w:r>
          </w:p>
        </w:tc>
        <w:tc>
          <w:tcPr>
            <w:tcW w:w="3888" w:type="dxa"/>
          </w:tcPr>
          <w:p w14:paraId="0A023114" w14:textId="77777777" w:rsidR="00756B19" w:rsidRPr="00566B6A" w:rsidRDefault="00F247EE">
            <w:pPr>
              <w:rPr>
                <w:rFonts w:ascii="Courier New" w:hAnsi="Courier New" w:cs="Courier New"/>
                <w:sz w:val="22"/>
              </w:rPr>
            </w:pPr>
            <w:r w:rsidRPr="00566B6A">
              <w:rPr>
                <w:rFonts w:ascii="Courier New" w:hAnsi="Courier New" w:cs="Courier New"/>
                <w:sz w:val="22"/>
              </w:rPr>
              <w:t>Credit-report page; proof of identity/current address; employer records; source request; dispute confirmation; revised report</w:t>
            </w:r>
          </w:p>
        </w:tc>
      </w:tr>
      <w:tr w:rsidR="00756B19" w:rsidRPr="00566B6A" w14:paraId="01D15742" w14:textId="77777777">
        <w:trPr>
          <w:jc w:val="center"/>
        </w:trPr>
        <w:tc>
          <w:tcPr>
            <w:tcW w:w="1440" w:type="dxa"/>
          </w:tcPr>
          <w:p w14:paraId="4FA11180" w14:textId="77777777" w:rsidR="00756B19" w:rsidRPr="00566B6A" w:rsidRDefault="00F247EE">
            <w:pPr>
              <w:rPr>
                <w:rFonts w:ascii="Courier New" w:hAnsi="Courier New" w:cs="Courier New"/>
                <w:sz w:val="22"/>
              </w:rPr>
            </w:pPr>
            <w:r w:rsidRPr="00566B6A">
              <w:rPr>
                <w:rFonts w:ascii="Courier New" w:hAnsi="Courier New" w:cs="Courier New"/>
                <w:sz w:val="22"/>
              </w:rPr>
              <w:lastRenderedPageBreak/>
              <w:t>Federal Statute</w:t>
            </w:r>
          </w:p>
        </w:tc>
        <w:tc>
          <w:tcPr>
            <w:tcW w:w="2448" w:type="dxa"/>
          </w:tcPr>
          <w:p w14:paraId="71294B37" w14:textId="77777777" w:rsidR="00756B19" w:rsidRPr="00566B6A" w:rsidRDefault="00F247EE">
            <w:pPr>
              <w:rPr>
                <w:rFonts w:ascii="Courier New" w:hAnsi="Courier New" w:cs="Courier New"/>
                <w:sz w:val="22"/>
              </w:rPr>
            </w:pPr>
            <w:r w:rsidRPr="00566B6A">
              <w:rPr>
                <w:rFonts w:ascii="Courier New" w:hAnsi="Courier New" w:cs="Courier New"/>
                <w:sz w:val="22"/>
              </w:rPr>
              <w:t>15 U.S.C. §§ 1681s-2(b), 1681c-2</w:t>
            </w:r>
          </w:p>
        </w:tc>
        <w:tc>
          <w:tcPr>
            <w:tcW w:w="3168" w:type="dxa"/>
          </w:tcPr>
          <w:p w14:paraId="58377683" w14:textId="77777777" w:rsidR="00756B19" w:rsidRPr="00566B6A" w:rsidRDefault="00F247EE">
            <w:pPr>
              <w:rPr>
                <w:rFonts w:ascii="Courier New" w:hAnsi="Courier New" w:cs="Courier New"/>
                <w:sz w:val="22"/>
              </w:rPr>
            </w:pPr>
            <w:r w:rsidRPr="00566B6A">
              <w:rPr>
                <w:rFonts w:ascii="Courier New" w:hAnsi="Courier New" w:cs="Courier New"/>
                <w:sz w:val="22"/>
              </w:rPr>
              <w:t>Furnisher duties after CRA dispute notice; blocking of identity-theft information</w:t>
            </w:r>
          </w:p>
        </w:tc>
        <w:tc>
          <w:tcPr>
            <w:tcW w:w="3456" w:type="dxa"/>
          </w:tcPr>
          <w:p w14:paraId="62CA7167" w14:textId="77777777" w:rsidR="00756B19" w:rsidRPr="00566B6A" w:rsidRDefault="00F247EE">
            <w:pPr>
              <w:rPr>
                <w:rFonts w:ascii="Courier New" w:hAnsi="Courier New" w:cs="Courier New"/>
                <w:sz w:val="22"/>
              </w:rPr>
            </w:pPr>
            <w:r w:rsidRPr="00566B6A">
              <w:rPr>
                <w:rFonts w:ascii="Courier New" w:hAnsi="Courier New" w:cs="Courier New"/>
                <w:sz w:val="22"/>
              </w:rPr>
              <w:t>Investigation and modification, deletion, or permanent block where applicable; identity-theft block after required documentation</w:t>
            </w:r>
          </w:p>
        </w:tc>
        <w:tc>
          <w:tcPr>
            <w:tcW w:w="3888" w:type="dxa"/>
          </w:tcPr>
          <w:p w14:paraId="0B6D7941" w14:textId="77777777" w:rsidR="00756B19" w:rsidRPr="00566B6A" w:rsidRDefault="00F247EE">
            <w:pPr>
              <w:rPr>
                <w:rFonts w:ascii="Courier New" w:hAnsi="Courier New" w:cs="Courier New"/>
                <w:sz w:val="22"/>
              </w:rPr>
            </w:pPr>
            <w:r w:rsidRPr="00566B6A">
              <w:rPr>
                <w:rFonts w:ascii="Courier New" w:hAnsi="Courier New" w:cs="Courier New"/>
                <w:sz w:val="22"/>
              </w:rPr>
              <w:t>CRA dispute ID; identity-theft report; proof of identity; exact disputed identifiers; furnisher and bureau responses</w:t>
            </w:r>
          </w:p>
        </w:tc>
      </w:tr>
      <w:tr w:rsidR="00756B19" w:rsidRPr="00566B6A" w14:paraId="1CA34029" w14:textId="77777777">
        <w:trPr>
          <w:jc w:val="center"/>
        </w:trPr>
        <w:tc>
          <w:tcPr>
            <w:tcW w:w="1440" w:type="dxa"/>
          </w:tcPr>
          <w:p w14:paraId="570D2BA2" w14:textId="77777777" w:rsidR="00756B19" w:rsidRPr="00566B6A" w:rsidRDefault="00F247EE">
            <w:pPr>
              <w:rPr>
                <w:rFonts w:ascii="Courier New" w:hAnsi="Courier New" w:cs="Courier New"/>
                <w:sz w:val="22"/>
              </w:rPr>
            </w:pPr>
            <w:r w:rsidRPr="00566B6A">
              <w:rPr>
                <w:rFonts w:ascii="Courier New" w:hAnsi="Courier New" w:cs="Courier New"/>
                <w:sz w:val="22"/>
              </w:rPr>
              <w:t>Federal Regulation</w:t>
            </w:r>
          </w:p>
        </w:tc>
        <w:tc>
          <w:tcPr>
            <w:tcW w:w="2448" w:type="dxa"/>
          </w:tcPr>
          <w:p w14:paraId="2F4FC996" w14:textId="77777777" w:rsidR="00756B19" w:rsidRPr="00566B6A" w:rsidRDefault="00F247EE">
            <w:pPr>
              <w:rPr>
                <w:rFonts w:ascii="Courier New" w:hAnsi="Courier New" w:cs="Courier New"/>
                <w:sz w:val="22"/>
              </w:rPr>
            </w:pPr>
            <w:r w:rsidRPr="00566B6A">
              <w:rPr>
                <w:rFonts w:ascii="Courier New" w:hAnsi="Courier New" w:cs="Courier New"/>
                <w:sz w:val="22"/>
              </w:rPr>
              <w:t>12 C.F.R. § 1022.43(b)(1)(i)–(ii)</w:t>
            </w:r>
          </w:p>
        </w:tc>
        <w:tc>
          <w:tcPr>
            <w:tcW w:w="3168" w:type="dxa"/>
          </w:tcPr>
          <w:p w14:paraId="22F540E8" w14:textId="77777777" w:rsidR="00756B19" w:rsidRPr="00566B6A" w:rsidRDefault="00F247EE">
            <w:pPr>
              <w:rPr>
                <w:rFonts w:ascii="Courier New" w:hAnsi="Courier New" w:cs="Courier New"/>
                <w:sz w:val="22"/>
              </w:rPr>
            </w:pPr>
            <w:r w:rsidRPr="00566B6A">
              <w:rPr>
                <w:rFonts w:ascii="Courier New" w:hAnsi="Courier New" w:cs="Courier New"/>
                <w:sz w:val="22"/>
              </w:rPr>
              <w:t>Direct-furnisher dispute exception for identifying information, addresses, telephone numbers, and past or present employers</w:t>
            </w:r>
          </w:p>
        </w:tc>
        <w:tc>
          <w:tcPr>
            <w:tcW w:w="3456" w:type="dxa"/>
          </w:tcPr>
          <w:p w14:paraId="35C7CDB6" w14:textId="77777777" w:rsidR="00756B19" w:rsidRPr="00566B6A" w:rsidRDefault="00F247EE">
            <w:pPr>
              <w:rPr>
                <w:rFonts w:ascii="Courier New" w:hAnsi="Courier New" w:cs="Courier New"/>
                <w:sz w:val="22"/>
              </w:rPr>
            </w:pPr>
            <w:r w:rsidRPr="00566B6A">
              <w:rPr>
                <w:rFonts w:ascii="Courier New" w:hAnsi="Courier New" w:cs="Courier New"/>
                <w:sz w:val="22"/>
              </w:rPr>
              <w:t>Routes the primary identifying-information dispute to the consumer reporting agency; CRA-to-furnisher duties may apply after agency notice</w:t>
            </w:r>
          </w:p>
        </w:tc>
        <w:tc>
          <w:tcPr>
            <w:tcW w:w="3888" w:type="dxa"/>
          </w:tcPr>
          <w:p w14:paraId="4D2B9941" w14:textId="77777777" w:rsidR="00756B19" w:rsidRPr="00566B6A" w:rsidRDefault="00F247EE">
            <w:pPr>
              <w:rPr>
                <w:rFonts w:ascii="Courier New" w:hAnsi="Courier New" w:cs="Courier New"/>
                <w:sz w:val="22"/>
              </w:rPr>
            </w:pPr>
            <w:r w:rsidRPr="00566B6A">
              <w:rPr>
                <w:rFonts w:ascii="Courier New" w:hAnsi="Courier New" w:cs="Courier New"/>
                <w:sz w:val="22"/>
              </w:rPr>
              <w:t>Avoid misrouting; preserve bureau submission, supporting documents, transmission record, and investigation results</w:t>
            </w:r>
          </w:p>
        </w:tc>
      </w:tr>
    </w:tbl>
    <w:p w14:paraId="02A6E133" w14:textId="77777777" w:rsidR="00756B19" w:rsidRPr="00566B6A" w:rsidRDefault="00F247EE">
      <w:pPr>
        <w:pStyle w:val="Heading1"/>
        <w:spacing w:before="160" w:after="80"/>
        <w:rPr>
          <w:rFonts w:ascii="Courier New" w:hAnsi="Courier New" w:cs="Courier New"/>
          <w:color w:val="auto"/>
          <w:sz w:val="22"/>
          <w:szCs w:val="22"/>
        </w:rPr>
      </w:pPr>
      <w:r w:rsidRPr="00566B6A">
        <w:rPr>
          <w:rFonts w:ascii="Courier New" w:eastAsia="Arial" w:hAnsi="Courier New" w:cs="Courier New"/>
          <w:color w:val="auto"/>
          <w:sz w:val="22"/>
          <w:szCs w:val="22"/>
        </w:rPr>
        <w:t>PART B — STATE CASE LAW LIBRARY (REQUIRED)</w:t>
      </w:r>
    </w:p>
    <w:p w14:paraId="571A1F31" w14:textId="77777777" w:rsidR="00756B19" w:rsidRPr="00566B6A" w:rsidRDefault="00F247EE">
      <w:pPr>
        <w:spacing w:after="60"/>
        <w:rPr>
          <w:rFonts w:ascii="Courier New" w:hAnsi="Courier New" w:cs="Courier New"/>
          <w:sz w:val="22"/>
        </w:rPr>
      </w:pPr>
      <w:r w:rsidRPr="00566B6A">
        <w:rPr>
          <w:rFonts w:ascii="Courier New" w:hAnsi="Courier New" w:cs="Courier New"/>
          <w:b/>
          <w:sz w:val="22"/>
        </w:rPr>
        <w:t>Jurisdiction: Michigan (MI)</w:t>
      </w:r>
    </w:p>
    <w:p w14:paraId="202B8774" w14:textId="77777777" w:rsidR="00756B19" w:rsidRPr="00566B6A" w:rsidRDefault="00F247EE">
      <w:pPr>
        <w:spacing w:after="60"/>
        <w:rPr>
          <w:rFonts w:ascii="Courier New" w:hAnsi="Courier New" w:cs="Courier New"/>
          <w:sz w:val="22"/>
        </w:rPr>
      </w:pPr>
      <w:r w:rsidRPr="00566B6A">
        <w:rPr>
          <w:rFonts w:ascii="Courier New" w:hAnsi="Courier New" w:cs="Courier New"/>
          <w:i/>
          <w:sz w:val="22"/>
        </w:rPr>
        <w:t>Educational module — no liability conclusions. No invented citations. The debt-collection decision below is an unpublished Michigan Court of Appeals decision applying MCL 445.251, 445.252, and 445.257; it should be used as persuasive rather than binding authority.</w:t>
      </w:r>
    </w:p>
    <w:p w14:paraId="40F81FCB"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Topic: UDAP / Consumer Deception</w:t>
      </w:r>
    </w:p>
    <w:tbl>
      <w:tblPr>
        <w:tblStyle w:val="TableGrid"/>
        <w:tblW w:w="0" w:type="auto"/>
        <w:jc w:val="center"/>
        <w:tblLayout w:type="fixed"/>
        <w:tblLook w:val="04A0" w:firstRow="1" w:lastRow="0" w:firstColumn="1" w:lastColumn="0" w:noHBand="0" w:noVBand="1"/>
      </w:tblPr>
      <w:tblGrid>
        <w:gridCol w:w="2232"/>
        <w:gridCol w:w="1152"/>
        <w:gridCol w:w="748"/>
        <w:gridCol w:w="2088"/>
        <w:gridCol w:w="4536"/>
        <w:gridCol w:w="3643"/>
      </w:tblGrid>
      <w:tr w:rsidR="00756B19" w:rsidRPr="00566B6A" w14:paraId="23AF2E37" w14:textId="77777777">
        <w:trPr>
          <w:cantSplit/>
          <w:tblHeader/>
          <w:jc w:val="center"/>
        </w:trPr>
        <w:tc>
          <w:tcPr>
            <w:tcW w:w="2232" w:type="dxa"/>
            <w:shd w:val="clear" w:color="auto" w:fill="D9EAF7"/>
            <w:tcMar>
              <w:top w:w="55" w:type="dxa"/>
              <w:left w:w="55" w:type="dxa"/>
              <w:bottom w:w="55" w:type="dxa"/>
              <w:right w:w="55" w:type="dxa"/>
            </w:tcMar>
            <w:vAlign w:val="center"/>
          </w:tcPr>
          <w:p w14:paraId="09E8807F"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Case Name</w:t>
            </w:r>
          </w:p>
        </w:tc>
        <w:tc>
          <w:tcPr>
            <w:tcW w:w="1152" w:type="dxa"/>
            <w:shd w:val="clear" w:color="auto" w:fill="D9EAF7"/>
            <w:tcMar>
              <w:top w:w="55" w:type="dxa"/>
              <w:left w:w="55" w:type="dxa"/>
              <w:bottom w:w="55" w:type="dxa"/>
              <w:right w:w="55" w:type="dxa"/>
            </w:tcMar>
            <w:vAlign w:val="center"/>
          </w:tcPr>
          <w:p w14:paraId="37964222"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Court</w:t>
            </w:r>
          </w:p>
        </w:tc>
        <w:tc>
          <w:tcPr>
            <w:tcW w:w="748" w:type="dxa"/>
            <w:shd w:val="clear" w:color="auto" w:fill="D9EAF7"/>
            <w:tcMar>
              <w:top w:w="55" w:type="dxa"/>
              <w:left w:w="55" w:type="dxa"/>
              <w:bottom w:w="55" w:type="dxa"/>
              <w:right w:w="55" w:type="dxa"/>
            </w:tcMar>
            <w:vAlign w:val="center"/>
          </w:tcPr>
          <w:p w14:paraId="1A73DC75"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Year</w:t>
            </w:r>
          </w:p>
        </w:tc>
        <w:tc>
          <w:tcPr>
            <w:tcW w:w="2088" w:type="dxa"/>
            <w:shd w:val="clear" w:color="auto" w:fill="D9EAF7"/>
            <w:tcMar>
              <w:top w:w="55" w:type="dxa"/>
              <w:left w:w="55" w:type="dxa"/>
              <w:bottom w:w="55" w:type="dxa"/>
              <w:right w:w="55" w:type="dxa"/>
            </w:tcMar>
            <w:vAlign w:val="center"/>
          </w:tcPr>
          <w:p w14:paraId="69DD40A1"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Citation</w:t>
            </w:r>
          </w:p>
        </w:tc>
        <w:tc>
          <w:tcPr>
            <w:tcW w:w="4536" w:type="dxa"/>
            <w:shd w:val="clear" w:color="auto" w:fill="D9EAF7"/>
            <w:tcMar>
              <w:top w:w="55" w:type="dxa"/>
              <w:left w:w="55" w:type="dxa"/>
              <w:bottom w:w="55" w:type="dxa"/>
              <w:right w:w="55" w:type="dxa"/>
            </w:tcMar>
            <w:vAlign w:val="center"/>
          </w:tcPr>
          <w:p w14:paraId="68054F4E"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Holding Summary</w:t>
            </w:r>
          </w:p>
        </w:tc>
        <w:tc>
          <w:tcPr>
            <w:tcW w:w="3643" w:type="dxa"/>
            <w:shd w:val="clear" w:color="auto" w:fill="D9EAF7"/>
            <w:tcMar>
              <w:top w:w="55" w:type="dxa"/>
              <w:left w:w="55" w:type="dxa"/>
              <w:bottom w:w="55" w:type="dxa"/>
              <w:right w:w="55" w:type="dxa"/>
            </w:tcMar>
            <w:vAlign w:val="center"/>
          </w:tcPr>
          <w:p w14:paraId="2EC055FA"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Practical Use</w:t>
            </w:r>
          </w:p>
        </w:tc>
      </w:tr>
      <w:tr w:rsidR="00756B19" w:rsidRPr="00566B6A" w14:paraId="405154CF" w14:textId="77777777">
        <w:trPr>
          <w:cantSplit/>
          <w:jc w:val="center"/>
        </w:trPr>
        <w:tc>
          <w:tcPr>
            <w:tcW w:w="2232" w:type="dxa"/>
            <w:tcMar>
              <w:top w:w="50" w:type="dxa"/>
              <w:left w:w="55" w:type="dxa"/>
              <w:bottom w:w="50" w:type="dxa"/>
              <w:right w:w="55" w:type="dxa"/>
            </w:tcMar>
          </w:tcPr>
          <w:p w14:paraId="128CB80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Zine v. Chrysler Corp.</w:t>
            </w:r>
          </w:p>
        </w:tc>
        <w:tc>
          <w:tcPr>
            <w:tcW w:w="1152" w:type="dxa"/>
            <w:tcMar>
              <w:top w:w="50" w:type="dxa"/>
              <w:left w:w="55" w:type="dxa"/>
              <w:bottom w:w="50" w:type="dxa"/>
              <w:right w:w="55" w:type="dxa"/>
            </w:tcMar>
          </w:tcPr>
          <w:p w14:paraId="3B7C489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Mich. Ct. App.</w:t>
            </w:r>
          </w:p>
        </w:tc>
        <w:tc>
          <w:tcPr>
            <w:tcW w:w="748" w:type="dxa"/>
            <w:tcMar>
              <w:top w:w="50" w:type="dxa"/>
              <w:left w:w="55" w:type="dxa"/>
              <w:bottom w:w="50" w:type="dxa"/>
              <w:right w:w="55" w:type="dxa"/>
            </w:tcMar>
          </w:tcPr>
          <w:p w14:paraId="29F9D293"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1999</w:t>
            </w:r>
          </w:p>
        </w:tc>
        <w:tc>
          <w:tcPr>
            <w:tcW w:w="2088" w:type="dxa"/>
            <w:tcMar>
              <w:top w:w="50" w:type="dxa"/>
              <w:left w:w="55" w:type="dxa"/>
              <w:bottom w:w="50" w:type="dxa"/>
              <w:right w:w="55" w:type="dxa"/>
            </w:tcMar>
          </w:tcPr>
          <w:p w14:paraId="701025B2"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236 Mich. App. 261, 600 N.W.2d 384</w:t>
            </w:r>
          </w:p>
        </w:tc>
        <w:tc>
          <w:tcPr>
            <w:tcW w:w="4536" w:type="dxa"/>
            <w:tcMar>
              <w:top w:w="50" w:type="dxa"/>
              <w:left w:w="55" w:type="dxa"/>
              <w:bottom w:w="50" w:type="dxa"/>
              <w:right w:w="55" w:type="dxa"/>
            </w:tcMar>
          </w:tcPr>
          <w:p w14:paraId="368304C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The MCPA does not create a general duty to disclose, but information voluntarily supplied may not be misleading, confusing, or deceptive.</w:t>
            </w:r>
          </w:p>
        </w:tc>
        <w:tc>
          <w:tcPr>
            <w:tcW w:w="3643" w:type="dxa"/>
            <w:tcMar>
              <w:top w:w="50" w:type="dxa"/>
              <w:left w:w="55" w:type="dxa"/>
              <w:bottom w:w="50" w:type="dxa"/>
              <w:right w:w="55" w:type="dxa"/>
            </w:tcMar>
          </w:tcPr>
          <w:p w14:paraId="5B5AAAA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Preserve the exact statement or omission, its context, the consumer decision affected, and resulting loss.</w:t>
            </w:r>
          </w:p>
        </w:tc>
      </w:tr>
      <w:tr w:rsidR="00756B19" w:rsidRPr="00566B6A" w14:paraId="564926D0" w14:textId="77777777">
        <w:trPr>
          <w:cantSplit/>
          <w:jc w:val="center"/>
        </w:trPr>
        <w:tc>
          <w:tcPr>
            <w:tcW w:w="2232" w:type="dxa"/>
            <w:shd w:val="clear" w:color="auto" w:fill="F7FAFC"/>
            <w:tcMar>
              <w:top w:w="50" w:type="dxa"/>
              <w:left w:w="55" w:type="dxa"/>
              <w:bottom w:w="50" w:type="dxa"/>
              <w:right w:w="55" w:type="dxa"/>
            </w:tcMar>
          </w:tcPr>
          <w:p w14:paraId="0B2F4D03"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lastRenderedPageBreak/>
              <w:t>Liss v. Lewiston-Richards, Inc.</w:t>
            </w:r>
          </w:p>
        </w:tc>
        <w:tc>
          <w:tcPr>
            <w:tcW w:w="1152" w:type="dxa"/>
            <w:shd w:val="clear" w:color="auto" w:fill="F7FAFC"/>
            <w:tcMar>
              <w:top w:w="50" w:type="dxa"/>
              <w:left w:w="55" w:type="dxa"/>
              <w:bottom w:w="50" w:type="dxa"/>
              <w:right w:w="55" w:type="dxa"/>
            </w:tcMar>
          </w:tcPr>
          <w:p w14:paraId="30AA2E5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Mich. Sup. Ct.</w:t>
            </w:r>
          </w:p>
        </w:tc>
        <w:tc>
          <w:tcPr>
            <w:tcW w:w="748" w:type="dxa"/>
            <w:shd w:val="clear" w:color="auto" w:fill="F7FAFC"/>
            <w:tcMar>
              <w:top w:w="50" w:type="dxa"/>
              <w:left w:w="55" w:type="dxa"/>
              <w:bottom w:w="50" w:type="dxa"/>
              <w:right w:w="55" w:type="dxa"/>
            </w:tcMar>
          </w:tcPr>
          <w:p w14:paraId="0BC015E0"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2007</w:t>
            </w:r>
          </w:p>
        </w:tc>
        <w:tc>
          <w:tcPr>
            <w:tcW w:w="2088" w:type="dxa"/>
            <w:shd w:val="clear" w:color="auto" w:fill="F7FAFC"/>
            <w:tcMar>
              <w:top w:w="50" w:type="dxa"/>
              <w:left w:w="55" w:type="dxa"/>
              <w:bottom w:w="50" w:type="dxa"/>
              <w:right w:w="55" w:type="dxa"/>
            </w:tcMar>
          </w:tcPr>
          <w:p w14:paraId="6313DF2E"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478 Mich. 203, 732 N.W.2d 514</w:t>
            </w:r>
          </w:p>
        </w:tc>
        <w:tc>
          <w:tcPr>
            <w:tcW w:w="4536" w:type="dxa"/>
            <w:shd w:val="clear" w:color="auto" w:fill="F7FAFC"/>
            <w:tcMar>
              <w:top w:w="50" w:type="dxa"/>
              <w:left w:w="55" w:type="dxa"/>
              <w:bottom w:w="50" w:type="dxa"/>
              <w:right w:w="55" w:type="dxa"/>
            </w:tcMar>
          </w:tcPr>
          <w:p w14:paraId="0C65D961"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The regulated-conduct exemption is transaction-specific; licensing alone does not exempt a business unless the challenged conduct is specifically authorized.</w:t>
            </w:r>
          </w:p>
        </w:tc>
        <w:tc>
          <w:tcPr>
            <w:tcW w:w="3643" w:type="dxa"/>
            <w:shd w:val="clear" w:color="auto" w:fill="F7FAFC"/>
            <w:tcMar>
              <w:top w:w="50" w:type="dxa"/>
              <w:left w:w="55" w:type="dxa"/>
              <w:bottom w:w="50" w:type="dxa"/>
              <w:right w:w="55" w:type="dxa"/>
            </w:tcMar>
          </w:tcPr>
          <w:p w14:paraId="3A5126C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Identify the precise transaction and determine whether the challenged conduct itself was specifically authorized.</w:t>
            </w:r>
          </w:p>
        </w:tc>
      </w:tr>
    </w:tbl>
    <w:p w14:paraId="4F62CBD5" w14:textId="77777777" w:rsidR="00756B19" w:rsidRPr="00566B6A" w:rsidRDefault="00756B19">
      <w:pPr>
        <w:spacing w:after="20"/>
        <w:rPr>
          <w:rFonts w:ascii="Courier New" w:hAnsi="Courier New" w:cs="Courier New"/>
          <w:sz w:val="22"/>
        </w:rPr>
      </w:pPr>
    </w:p>
    <w:p w14:paraId="1C329527"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Topic: Debt Collection</w:t>
      </w:r>
    </w:p>
    <w:tbl>
      <w:tblPr>
        <w:tblStyle w:val="TableGrid"/>
        <w:tblW w:w="0" w:type="auto"/>
        <w:jc w:val="center"/>
        <w:tblLayout w:type="fixed"/>
        <w:tblLook w:val="04A0" w:firstRow="1" w:lastRow="0" w:firstColumn="1" w:lastColumn="0" w:noHBand="0" w:noVBand="1"/>
      </w:tblPr>
      <w:tblGrid>
        <w:gridCol w:w="2232"/>
        <w:gridCol w:w="1152"/>
        <w:gridCol w:w="748"/>
        <w:gridCol w:w="2088"/>
        <w:gridCol w:w="4536"/>
        <w:gridCol w:w="3643"/>
      </w:tblGrid>
      <w:tr w:rsidR="00756B19" w:rsidRPr="00566B6A" w14:paraId="18B8F6A0" w14:textId="77777777">
        <w:trPr>
          <w:cantSplit/>
          <w:tblHeader/>
          <w:jc w:val="center"/>
        </w:trPr>
        <w:tc>
          <w:tcPr>
            <w:tcW w:w="2232" w:type="dxa"/>
            <w:shd w:val="clear" w:color="auto" w:fill="D9EAF7"/>
            <w:tcMar>
              <w:top w:w="55" w:type="dxa"/>
              <w:left w:w="55" w:type="dxa"/>
              <w:bottom w:w="55" w:type="dxa"/>
              <w:right w:w="55" w:type="dxa"/>
            </w:tcMar>
            <w:vAlign w:val="center"/>
          </w:tcPr>
          <w:p w14:paraId="5B90CCC9"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Case Name</w:t>
            </w:r>
          </w:p>
        </w:tc>
        <w:tc>
          <w:tcPr>
            <w:tcW w:w="1152" w:type="dxa"/>
            <w:shd w:val="clear" w:color="auto" w:fill="D9EAF7"/>
            <w:tcMar>
              <w:top w:w="55" w:type="dxa"/>
              <w:left w:w="55" w:type="dxa"/>
              <w:bottom w:w="55" w:type="dxa"/>
              <w:right w:w="55" w:type="dxa"/>
            </w:tcMar>
            <w:vAlign w:val="center"/>
          </w:tcPr>
          <w:p w14:paraId="5D0D3022"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Court</w:t>
            </w:r>
          </w:p>
        </w:tc>
        <w:tc>
          <w:tcPr>
            <w:tcW w:w="748" w:type="dxa"/>
            <w:shd w:val="clear" w:color="auto" w:fill="D9EAF7"/>
            <w:tcMar>
              <w:top w:w="55" w:type="dxa"/>
              <w:left w:w="55" w:type="dxa"/>
              <w:bottom w:w="55" w:type="dxa"/>
              <w:right w:w="55" w:type="dxa"/>
            </w:tcMar>
            <w:vAlign w:val="center"/>
          </w:tcPr>
          <w:p w14:paraId="5DFC5E85"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Year</w:t>
            </w:r>
          </w:p>
        </w:tc>
        <w:tc>
          <w:tcPr>
            <w:tcW w:w="2088" w:type="dxa"/>
            <w:shd w:val="clear" w:color="auto" w:fill="D9EAF7"/>
            <w:tcMar>
              <w:top w:w="55" w:type="dxa"/>
              <w:left w:w="55" w:type="dxa"/>
              <w:bottom w:w="55" w:type="dxa"/>
              <w:right w:w="55" w:type="dxa"/>
            </w:tcMar>
            <w:vAlign w:val="center"/>
          </w:tcPr>
          <w:p w14:paraId="35C2E9CF"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Citation</w:t>
            </w:r>
          </w:p>
        </w:tc>
        <w:tc>
          <w:tcPr>
            <w:tcW w:w="4536" w:type="dxa"/>
            <w:shd w:val="clear" w:color="auto" w:fill="D9EAF7"/>
            <w:tcMar>
              <w:top w:w="55" w:type="dxa"/>
              <w:left w:w="55" w:type="dxa"/>
              <w:bottom w:w="55" w:type="dxa"/>
              <w:right w:w="55" w:type="dxa"/>
            </w:tcMar>
            <w:vAlign w:val="center"/>
          </w:tcPr>
          <w:p w14:paraId="11908DB5"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Holding Summary</w:t>
            </w:r>
          </w:p>
        </w:tc>
        <w:tc>
          <w:tcPr>
            <w:tcW w:w="3643" w:type="dxa"/>
            <w:shd w:val="clear" w:color="auto" w:fill="D9EAF7"/>
            <w:tcMar>
              <w:top w:w="55" w:type="dxa"/>
              <w:left w:w="55" w:type="dxa"/>
              <w:bottom w:w="55" w:type="dxa"/>
              <w:right w:w="55" w:type="dxa"/>
            </w:tcMar>
            <w:vAlign w:val="center"/>
          </w:tcPr>
          <w:p w14:paraId="7199149E"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Practical Use</w:t>
            </w:r>
          </w:p>
        </w:tc>
      </w:tr>
      <w:tr w:rsidR="00756B19" w:rsidRPr="00566B6A" w14:paraId="05F12712" w14:textId="77777777">
        <w:trPr>
          <w:cantSplit/>
          <w:jc w:val="center"/>
        </w:trPr>
        <w:tc>
          <w:tcPr>
            <w:tcW w:w="2232" w:type="dxa"/>
            <w:tcMar>
              <w:top w:w="50" w:type="dxa"/>
              <w:left w:w="55" w:type="dxa"/>
              <w:bottom w:w="50" w:type="dxa"/>
              <w:right w:w="55" w:type="dxa"/>
            </w:tcMar>
          </w:tcPr>
          <w:p w14:paraId="0ADA0A1B"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Newmeyer v. Bank of America, N.A.</w:t>
            </w:r>
          </w:p>
        </w:tc>
        <w:tc>
          <w:tcPr>
            <w:tcW w:w="1152" w:type="dxa"/>
            <w:tcMar>
              <w:top w:w="50" w:type="dxa"/>
              <w:left w:w="55" w:type="dxa"/>
              <w:bottom w:w="50" w:type="dxa"/>
              <w:right w:w="55" w:type="dxa"/>
            </w:tcMar>
          </w:tcPr>
          <w:p w14:paraId="69C2673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Mich. Ct. App. (unpub.)</w:t>
            </w:r>
          </w:p>
        </w:tc>
        <w:tc>
          <w:tcPr>
            <w:tcW w:w="748" w:type="dxa"/>
            <w:tcMar>
              <w:top w:w="50" w:type="dxa"/>
              <w:left w:w="55" w:type="dxa"/>
              <w:bottom w:w="50" w:type="dxa"/>
              <w:right w:w="55" w:type="dxa"/>
            </w:tcMar>
          </w:tcPr>
          <w:p w14:paraId="61FE14F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2019</w:t>
            </w:r>
          </w:p>
        </w:tc>
        <w:tc>
          <w:tcPr>
            <w:tcW w:w="2088" w:type="dxa"/>
            <w:tcMar>
              <w:top w:w="50" w:type="dxa"/>
              <w:left w:w="55" w:type="dxa"/>
              <w:bottom w:w="50" w:type="dxa"/>
              <w:right w:w="55" w:type="dxa"/>
            </w:tcMar>
          </w:tcPr>
          <w:p w14:paraId="6B77818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No. 343206, 2019 WL 1780617</w:t>
            </w:r>
          </w:p>
        </w:tc>
        <w:tc>
          <w:tcPr>
            <w:tcW w:w="4536" w:type="dxa"/>
            <w:tcMar>
              <w:top w:w="50" w:type="dxa"/>
              <w:left w:w="55" w:type="dxa"/>
              <w:bottom w:w="50" w:type="dxa"/>
              <w:right w:w="55" w:type="dxa"/>
            </w:tcMar>
          </w:tcPr>
          <w:p w14:paraId="62B1EA0B"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Applied MCL 445.251, 445.252, and 445.257 to alleged misleading and harassing collection conduct, regulated-person status, and claimed loss.</w:t>
            </w:r>
          </w:p>
        </w:tc>
        <w:tc>
          <w:tcPr>
            <w:tcW w:w="3643" w:type="dxa"/>
            <w:tcMar>
              <w:top w:w="50" w:type="dxa"/>
              <w:left w:w="55" w:type="dxa"/>
              <w:bottom w:w="50" w:type="dxa"/>
              <w:right w:w="55" w:type="dxa"/>
            </w:tcMar>
          </w:tcPr>
          <w:p w14:paraId="5E6C908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Preserve collector status, communications, payment history, dispute notices, claimed amounts, and proof of injury or loss.</w:t>
            </w:r>
          </w:p>
        </w:tc>
      </w:tr>
    </w:tbl>
    <w:p w14:paraId="0F748E78" w14:textId="77777777" w:rsidR="00756B19" w:rsidRPr="00566B6A" w:rsidRDefault="00756B19">
      <w:pPr>
        <w:spacing w:after="20"/>
        <w:rPr>
          <w:rFonts w:ascii="Courier New" w:hAnsi="Courier New" w:cs="Courier New"/>
          <w:sz w:val="22"/>
        </w:rPr>
      </w:pPr>
    </w:p>
    <w:p w14:paraId="058A5C87"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Case Law (Curated — Consolidated)</w:t>
      </w:r>
    </w:p>
    <w:tbl>
      <w:tblPr>
        <w:tblStyle w:val="TableGrid"/>
        <w:tblW w:w="0" w:type="auto"/>
        <w:jc w:val="center"/>
        <w:tblLayout w:type="fixed"/>
        <w:tblLook w:val="04A0" w:firstRow="1" w:lastRow="0" w:firstColumn="1" w:lastColumn="0" w:noHBand="0" w:noVBand="1"/>
      </w:tblPr>
      <w:tblGrid>
        <w:gridCol w:w="2232"/>
        <w:gridCol w:w="1152"/>
        <w:gridCol w:w="748"/>
        <w:gridCol w:w="2088"/>
        <w:gridCol w:w="4536"/>
        <w:gridCol w:w="3643"/>
      </w:tblGrid>
      <w:tr w:rsidR="00756B19" w:rsidRPr="00566B6A" w14:paraId="2E0F2305" w14:textId="77777777">
        <w:trPr>
          <w:cantSplit/>
          <w:tblHeader/>
          <w:jc w:val="center"/>
        </w:trPr>
        <w:tc>
          <w:tcPr>
            <w:tcW w:w="2232" w:type="dxa"/>
            <w:shd w:val="clear" w:color="auto" w:fill="D9EAF7"/>
            <w:tcMar>
              <w:top w:w="55" w:type="dxa"/>
              <w:left w:w="55" w:type="dxa"/>
              <w:bottom w:w="55" w:type="dxa"/>
              <w:right w:w="55" w:type="dxa"/>
            </w:tcMar>
            <w:vAlign w:val="center"/>
          </w:tcPr>
          <w:p w14:paraId="280C4CBC"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Case Name</w:t>
            </w:r>
          </w:p>
        </w:tc>
        <w:tc>
          <w:tcPr>
            <w:tcW w:w="1152" w:type="dxa"/>
            <w:shd w:val="clear" w:color="auto" w:fill="D9EAF7"/>
            <w:tcMar>
              <w:top w:w="55" w:type="dxa"/>
              <w:left w:w="55" w:type="dxa"/>
              <w:bottom w:w="55" w:type="dxa"/>
              <w:right w:w="55" w:type="dxa"/>
            </w:tcMar>
            <w:vAlign w:val="center"/>
          </w:tcPr>
          <w:p w14:paraId="7AE889C8"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Court</w:t>
            </w:r>
          </w:p>
        </w:tc>
        <w:tc>
          <w:tcPr>
            <w:tcW w:w="748" w:type="dxa"/>
            <w:shd w:val="clear" w:color="auto" w:fill="D9EAF7"/>
            <w:tcMar>
              <w:top w:w="55" w:type="dxa"/>
              <w:left w:w="55" w:type="dxa"/>
              <w:bottom w:w="55" w:type="dxa"/>
              <w:right w:w="55" w:type="dxa"/>
            </w:tcMar>
            <w:vAlign w:val="center"/>
          </w:tcPr>
          <w:p w14:paraId="45FAB46B"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Year</w:t>
            </w:r>
          </w:p>
        </w:tc>
        <w:tc>
          <w:tcPr>
            <w:tcW w:w="2088" w:type="dxa"/>
            <w:shd w:val="clear" w:color="auto" w:fill="D9EAF7"/>
            <w:tcMar>
              <w:top w:w="55" w:type="dxa"/>
              <w:left w:w="55" w:type="dxa"/>
              <w:bottom w:w="55" w:type="dxa"/>
              <w:right w:w="55" w:type="dxa"/>
            </w:tcMar>
            <w:vAlign w:val="center"/>
          </w:tcPr>
          <w:p w14:paraId="3DE842F7"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Citation</w:t>
            </w:r>
          </w:p>
        </w:tc>
        <w:tc>
          <w:tcPr>
            <w:tcW w:w="4536" w:type="dxa"/>
            <w:shd w:val="clear" w:color="auto" w:fill="D9EAF7"/>
            <w:tcMar>
              <w:top w:w="55" w:type="dxa"/>
              <w:left w:w="55" w:type="dxa"/>
              <w:bottom w:w="55" w:type="dxa"/>
              <w:right w:w="55" w:type="dxa"/>
            </w:tcMar>
            <w:vAlign w:val="center"/>
          </w:tcPr>
          <w:p w14:paraId="125DCC42"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Holding Summary</w:t>
            </w:r>
          </w:p>
        </w:tc>
        <w:tc>
          <w:tcPr>
            <w:tcW w:w="3643" w:type="dxa"/>
            <w:shd w:val="clear" w:color="auto" w:fill="D9EAF7"/>
            <w:tcMar>
              <w:top w:w="55" w:type="dxa"/>
              <w:left w:w="55" w:type="dxa"/>
              <w:bottom w:w="55" w:type="dxa"/>
              <w:right w:w="55" w:type="dxa"/>
            </w:tcMar>
            <w:vAlign w:val="center"/>
          </w:tcPr>
          <w:p w14:paraId="3371C13D"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Practical Use</w:t>
            </w:r>
          </w:p>
        </w:tc>
      </w:tr>
      <w:tr w:rsidR="00756B19" w:rsidRPr="00566B6A" w14:paraId="2A128B0D" w14:textId="77777777">
        <w:trPr>
          <w:cantSplit/>
          <w:jc w:val="center"/>
        </w:trPr>
        <w:tc>
          <w:tcPr>
            <w:tcW w:w="2232" w:type="dxa"/>
            <w:tcMar>
              <w:top w:w="50" w:type="dxa"/>
              <w:left w:w="55" w:type="dxa"/>
              <w:bottom w:w="50" w:type="dxa"/>
              <w:right w:w="55" w:type="dxa"/>
            </w:tcMar>
          </w:tcPr>
          <w:p w14:paraId="15BF32D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Zine v. Chrysler Corp.</w:t>
            </w:r>
          </w:p>
        </w:tc>
        <w:tc>
          <w:tcPr>
            <w:tcW w:w="1152" w:type="dxa"/>
            <w:tcMar>
              <w:top w:w="50" w:type="dxa"/>
              <w:left w:w="55" w:type="dxa"/>
              <w:bottom w:w="50" w:type="dxa"/>
              <w:right w:w="55" w:type="dxa"/>
            </w:tcMar>
          </w:tcPr>
          <w:p w14:paraId="630E022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Mich. Ct. App.</w:t>
            </w:r>
          </w:p>
        </w:tc>
        <w:tc>
          <w:tcPr>
            <w:tcW w:w="748" w:type="dxa"/>
            <w:tcMar>
              <w:top w:w="50" w:type="dxa"/>
              <w:left w:w="55" w:type="dxa"/>
              <w:bottom w:w="50" w:type="dxa"/>
              <w:right w:w="55" w:type="dxa"/>
            </w:tcMar>
          </w:tcPr>
          <w:p w14:paraId="2B76484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1999</w:t>
            </w:r>
          </w:p>
        </w:tc>
        <w:tc>
          <w:tcPr>
            <w:tcW w:w="2088" w:type="dxa"/>
            <w:tcMar>
              <w:top w:w="50" w:type="dxa"/>
              <w:left w:w="55" w:type="dxa"/>
              <w:bottom w:w="50" w:type="dxa"/>
              <w:right w:w="55" w:type="dxa"/>
            </w:tcMar>
          </w:tcPr>
          <w:p w14:paraId="73C05E2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236 Mich. App. 261, 600 N.W.2d 384</w:t>
            </w:r>
          </w:p>
        </w:tc>
        <w:tc>
          <w:tcPr>
            <w:tcW w:w="4536" w:type="dxa"/>
            <w:tcMar>
              <w:top w:w="50" w:type="dxa"/>
              <w:left w:w="55" w:type="dxa"/>
              <w:bottom w:w="50" w:type="dxa"/>
              <w:right w:w="55" w:type="dxa"/>
            </w:tcMar>
          </w:tcPr>
          <w:p w14:paraId="35E9EAF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The MCPA does not create a general duty to disclose, but information voluntarily supplied may not be misleading, confusing, or deceptive.</w:t>
            </w:r>
          </w:p>
        </w:tc>
        <w:tc>
          <w:tcPr>
            <w:tcW w:w="3643" w:type="dxa"/>
            <w:tcMar>
              <w:top w:w="50" w:type="dxa"/>
              <w:left w:w="55" w:type="dxa"/>
              <w:bottom w:w="50" w:type="dxa"/>
              <w:right w:w="55" w:type="dxa"/>
            </w:tcMar>
          </w:tcPr>
          <w:p w14:paraId="69E8FBD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Preserve the exact statement or omission, its context, the consumer decision affected, and resulting loss.</w:t>
            </w:r>
          </w:p>
        </w:tc>
      </w:tr>
      <w:tr w:rsidR="00756B19" w:rsidRPr="00566B6A" w14:paraId="26093C36" w14:textId="77777777">
        <w:trPr>
          <w:cantSplit/>
          <w:jc w:val="center"/>
        </w:trPr>
        <w:tc>
          <w:tcPr>
            <w:tcW w:w="2232" w:type="dxa"/>
            <w:shd w:val="clear" w:color="auto" w:fill="F7FAFC"/>
            <w:tcMar>
              <w:top w:w="50" w:type="dxa"/>
              <w:left w:w="55" w:type="dxa"/>
              <w:bottom w:w="50" w:type="dxa"/>
              <w:right w:w="55" w:type="dxa"/>
            </w:tcMar>
          </w:tcPr>
          <w:p w14:paraId="246D35A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Liss v. Lewiston-Richards, Inc.</w:t>
            </w:r>
          </w:p>
        </w:tc>
        <w:tc>
          <w:tcPr>
            <w:tcW w:w="1152" w:type="dxa"/>
            <w:shd w:val="clear" w:color="auto" w:fill="F7FAFC"/>
            <w:tcMar>
              <w:top w:w="50" w:type="dxa"/>
              <w:left w:w="55" w:type="dxa"/>
              <w:bottom w:w="50" w:type="dxa"/>
              <w:right w:w="55" w:type="dxa"/>
            </w:tcMar>
          </w:tcPr>
          <w:p w14:paraId="0CB14AC0"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Mich. Sup. Ct.</w:t>
            </w:r>
          </w:p>
        </w:tc>
        <w:tc>
          <w:tcPr>
            <w:tcW w:w="748" w:type="dxa"/>
            <w:shd w:val="clear" w:color="auto" w:fill="F7FAFC"/>
            <w:tcMar>
              <w:top w:w="50" w:type="dxa"/>
              <w:left w:w="55" w:type="dxa"/>
              <w:bottom w:w="50" w:type="dxa"/>
              <w:right w:w="55" w:type="dxa"/>
            </w:tcMar>
          </w:tcPr>
          <w:p w14:paraId="088D68DE"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2007</w:t>
            </w:r>
          </w:p>
        </w:tc>
        <w:tc>
          <w:tcPr>
            <w:tcW w:w="2088" w:type="dxa"/>
            <w:shd w:val="clear" w:color="auto" w:fill="F7FAFC"/>
            <w:tcMar>
              <w:top w:w="50" w:type="dxa"/>
              <w:left w:w="55" w:type="dxa"/>
              <w:bottom w:w="50" w:type="dxa"/>
              <w:right w:w="55" w:type="dxa"/>
            </w:tcMar>
          </w:tcPr>
          <w:p w14:paraId="33FCBA3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478 Mich. 203, 732 N.W.2d 514</w:t>
            </w:r>
          </w:p>
        </w:tc>
        <w:tc>
          <w:tcPr>
            <w:tcW w:w="4536" w:type="dxa"/>
            <w:shd w:val="clear" w:color="auto" w:fill="F7FAFC"/>
            <w:tcMar>
              <w:top w:w="50" w:type="dxa"/>
              <w:left w:w="55" w:type="dxa"/>
              <w:bottom w:w="50" w:type="dxa"/>
              <w:right w:w="55" w:type="dxa"/>
            </w:tcMar>
          </w:tcPr>
          <w:p w14:paraId="0180478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The regulated-conduct exemption is transaction-specific; licensing alone does not exempt a business unless the challenged conduct is specifically authorized.</w:t>
            </w:r>
          </w:p>
        </w:tc>
        <w:tc>
          <w:tcPr>
            <w:tcW w:w="3643" w:type="dxa"/>
            <w:shd w:val="clear" w:color="auto" w:fill="F7FAFC"/>
            <w:tcMar>
              <w:top w:w="50" w:type="dxa"/>
              <w:left w:w="55" w:type="dxa"/>
              <w:bottom w:w="50" w:type="dxa"/>
              <w:right w:w="55" w:type="dxa"/>
            </w:tcMar>
          </w:tcPr>
          <w:p w14:paraId="314458A3"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Identify the precise transaction and determine whether the challenged conduct itself was specifically authorized.</w:t>
            </w:r>
          </w:p>
        </w:tc>
      </w:tr>
      <w:tr w:rsidR="00756B19" w:rsidRPr="00566B6A" w14:paraId="4415A3DF" w14:textId="77777777">
        <w:trPr>
          <w:cantSplit/>
          <w:jc w:val="center"/>
        </w:trPr>
        <w:tc>
          <w:tcPr>
            <w:tcW w:w="2232" w:type="dxa"/>
            <w:tcMar>
              <w:top w:w="50" w:type="dxa"/>
              <w:left w:w="55" w:type="dxa"/>
              <w:bottom w:w="50" w:type="dxa"/>
              <w:right w:w="55" w:type="dxa"/>
            </w:tcMar>
          </w:tcPr>
          <w:p w14:paraId="4B579E2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lastRenderedPageBreak/>
              <w:t>Newmeyer v. Bank of America, N.A.</w:t>
            </w:r>
          </w:p>
        </w:tc>
        <w:tc>
          <w:tcPr>
            <w:tcW w:w="1152" w:type="dxa"/>
            <w:tcMar>
              <w:top w:w="50" w:type="dxa"/>
              <w:left w:w="55" w:type="dxa"/>
              <w:bottom w:w="50" w:type="dxa"/>
              <w:right w:w="55" w:type="dxa"/>
            </w:tcMar>
          </w:tcPr>
          <w:p w14:paraId="7B5BE92A"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Mich. Ct. App. (unpub.)</w:t>
            </w:r>
          </w:p>
        </w:tc>
        <w:tc>
          <w:tcPr>
            <w:tcW w:w="748" w:type="dxa"/>
            <w:tcMar>
              <w:top w:w="50" w:type="dxa"/>
              <w:left w:w="55" w:type="dxa"/>
              <w:bottom w:w="50" w:type="dxa"/>
              <w:right w:w="55" w:type="dxa"/>
            </w:tcMar>
          </w:tcPr>
          <w:p w14:paraId="100CFD6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2019</w:t>
            </w:r>
          </w:p>
        </w:tc>
        <w:tc>
          <w:tcPr>
            <w:tcW w:w="2088" w:type="dxa"/>
            <w:tcMar>
              <w:top w:w="50" w:type="dxa"/>
              <w:left w:w="55" w:type="dxa"/>
              <w:bottom w:w="50" w:type="dxa"/>
              <w:right w:w="55" w:type="dxa"/>
            </w:tcMar>
          </w:tcPr>
          <w:p w14:paraId="5D62FA2A"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No. 343206, 2019 WL 1780617</w:t>
            </w:r>
          </w:p>
        </w:tc>
        <w:tc>
          <w:tcPr>
            <w:tcW w:w="4536" w:type="dxa"/>
            <w:tcMar>
              <w:top w:w="50" w:type="dxa"/>
              <w:left w:w="55" w:type="dxa"/>
              <w:bottom w:w="50" w:type="dxa"/>
              <w:right w:w="55" w:type="dxa"/>
            </w:tcMar>
          </w:tcPr>
          <w:p w14:paraId="3924069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Applied MCL 445.251, 445.252, and 445.257 to alleged misleading and harassing collection conduct, regulated-person status, and claimed loss.</w:t>
            </w:r>
          </w:p>
        </w:tc>
        <w:tc>
          <w:tcPr>
            <w:tcW w:w="3643" w:type="dxa"/>
            <w:tcMar>
              <w:top w:w="50" w:type="dxa"/>
              <w:left w:w="55" w:type="dxa"/>
              <w:bottom w:w="50" w:type="dxa"/>
              <w:right w:w="55" w:type="dxa"/>
            </w:tcMar>
          </w:tcPr>
          <w:p w14:paraId="361E50F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Preserve collector status, communications, payment history, dispute notices, claimed amounts, and proof of injury or loss.</w:t>
            </w:r>
          </w:p>
        </w:tc>
      </w:tr>
    </w:tbl>
    <w:p w14:paraId="0D3C7111" w14:textId="77777777" w:rsidR="00756B19" w:rsidRPr="00566B6A" w:rsidRDefault="00756B19">
      <w:pPr>
        <w:spacing w:after="20"/>
        <w:rPr>
          <w:rFonts w:ascii="Courier New" w:hAnsi="Courier New" w:cs="Courier New"/>
          <w:sz w:val="22"/>
        </w:rPr>
      </w:pPr>
    </w:p>
    <w:p w14:paraId="62CA3E7D" w14:textId="77777777" w:rsidR="00756B19" w:rsidRPr="00566B6A" w:rsidRDefault="00F247EE">
      <w:pPr>
        <w:pStyle w:val="Heading1"/>
        <w:spacing w:before="160" w:after="80"/>
        <w:rPr>
          <w:rFonts w:ascii="Courier New" w:hAnsi="Courier New" w:cs="Courier New"/>
          <w:color w:val="auto"/>
          <w:sz w:val="22"/>
          <w:szCs w:val="22"/>
        </w:rPr>
      </w:pPr>
      <w:r w:rsidRPr="00566B6A">
        <w:rPr>
          <w:rFonts w:ascii="Courier New" w:eastAsia="Arial" w:hAnsi="Courier New" w:cs="Courier New"/>
          <w:color w:val="auto"/>
          <w:sz w:val="22"/>
          <w:szCs w:val="22"/>
        </w:rPr>
        <w:t>PART C — FCRA PREEMPTION + STATE-LAW SAFE ZONES (WITH CITATIONS)</w:t>
      </w:r>
    </w:p>
    <w:p w14:paraId="03CC2CC9" w14:textId="77777777" w:rsidR="00756B19" w:rsidRPr="00566B6A" w:rsidRDefault="00F247EE">
      <w:pPr>
        <w:keepNext/>
        <w:spacing w:after="60"/>
        <w:rPr>
          <w:rFonts w:ascii="Courier New" w:hAnsi="Courier New" w:cs="Courier New"/>
          <w:sz w:val="22"/>
        </w:rPr>
      </w:pPr>
      <w:r w:rsidRPr="00566B6A">
        <w:rPr>
          <w:rFonts w:ascii="Courier New" w:hAnsi="Courier New" w:cs="Courier New"/>
          <w:b/>
          <w:sz w:val="22"/>
        </w:rPr>
        <w:t>Federal preemption provisions (educational):</w:t>
      </w:r>
    </w:p>
    <w:p w14:paraId="4ADED9A9"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 xml:space="preserve">15 U.S.C. § 1681t(b) — </w:t>
      </w:r>
      <w:r w:rsidRPr="00566B6A">
        <w:rPr>
          <w:rFonts w:ascii="Courier New" w:hAnsi="Courier New" w:cs="Courier New"/>
          <w:sz w:val="22"/>
        </w:rPr>
        <w:t>preemption of certain state laws concerning subject matter regulated by the FCRA.</w:t>
      </w:r>
    </w:p>
    <w:p w14:paraId="6250FC8A"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 xml:space="preserve">15 U.S.C. § 1681h(e) — </w:t>
      </w:r>
      <w:r w:rsidRPr="00566B6A">
        <w:rPr>
          <w:rFonts w:ascii="Courier New" w:hAnsi="Courier New" w:cs="Courier New"/>
          <w:sz w:val="22"/>
        </w:rPr>
        <w:t>limitations on certain state causes of action involving information disclosed under specified FCRA provisions.</w:t>
      </w:r>
    </w:p>
    <w:p w14:paraId="57F5134C" w14:textId="77777777" w:rsidR="00756B19" w:rsidRDefault="00F247EE">
      <w:pPr>
        <w:spacing w:after="60"/>
        <w:rPr>
          <w:rFonts w:ascii="Courier New" w:hAnsi="Courier New" w:cs="Courier New"/>
          <w:sz w:val="22"/>
        </w:rPr>
      </w:pPr>
      <w:r w:rsidRPr="00566B6A">
        <w:rPr>
          <w:rFonts w:ascii="Courier New" w:hAnsi="Courier New" w:cs="Courier New"/>
          <w:sz w:val="22"/>
        </w:rPr>
        <w:t>Educational summary: Federal law generally governs CRA and furnisher duties concerning accuracy, reinvestigation, dispute processing, and reporting. Michigan identity-theft and freeze laws supplement those procedures, but overlapping state claims may be preemption-sensitive.</w:t>
      </w:r>
    </w:p>
    <w:p w14:paraId="4E3D232F" w14:textId="77777777" w:rsidR="00964317" w:rsidRPr="00566B6A" w:rsidRDefault="00964317">
      <w:pPr>
        <w:spacing w:after="60"/>
        <w:rPr>
          <w:rFonts w:ascii="Courier New" w:hAnsi="Courier New" w:cs="Courier New"/>
          <w:sz w:val="22"/>
        </w:rPr>
      </w:pPr>
    </w:p>
    <w:p w14:paraId="6FF22A4A"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Preemption Risk Map</w:t>
      </w:r>
    </w:p>
    <w:tbl>
      <w:tblPr>
        <w:tblStyle w:val="TableGrid"/>
        <w:tblW w:w="0" w:type="auto"/>
        <w:jc w:val="center"/>
        <w:tblLayout w:type="fixed"/>
        <w:tblLook w:val="04A0" w:firstRow="1" w:lastRow="0" w:firstColumn="1" w:lastColumn="0" w:noHBand="0" w:noVBand="1"/>
      </w:tblPr>
      <w:tblGrid>
        <w:gridCol w:w="2232"/>
        <w:gridCol w:w="3096"/>
        <w:gridCol w:w="1080"/>
        <w:gridCol w:w="1224"/>
        <w:gridCol w:w="6768"/>
      </w:tblGrid>
      <w:tr w:rsidR="00756B19" w:rsidRPr="00566B6A" w14:paraId="6C279385" w14:textId="77777777">
        <w:trPr>
          <w:cantSplit/>
          <w:tblHeader/>
          <w:jc w:val="center"/>
        </w:trPr>
        <w:tc>
          <w:tcPr>
            <w:tcW w:w="2232" w:type="dxa"/>
            <w:shd w:val="clear" w:color="auto" w:fill="D9EAF7"/>
            <w:tcMar>
              <w:top w:w="55" w:type="dxa"/>
              <w:left w:w="55" w:type="dxa"/>
              <w:bottom w:w="55" w:type="dxa"/>
              <w:right w:w="55" w:type="dxa"/>
            </w:tcMar>
            <w:vAlign w:val="center"/>
          </w:tcPr>
          <w:p w14:paraId="384D575D"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Claim / Topic</w:t>
            </w:r>
          </w:p>
        </w:tc>
        <w:tc>
          <w:tcPr>
            <w:tcW w:w="3096" w:type="dxa"/>
            <w:shd w:val="clear" w:color="auto" w:fill="D9EAF7"/>
            <w:tcMar>
              <w:top w:w="55" w:type="dxa"/>
              <w:left w:w="55" w:type="dxa"/>
              <w:bottom w:w="55" w:type="dxa"/>
              <w:right w:w="55" w:type="dxa"/>
            </w:tcMar>
            <w:vAlign w:val="center"/>
          </w:tcPr>
          <w:p w14:paraId="0A1D55A4"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Michigan Authority</w:t>
            </w:r>
          </w:p>
        </w:tc>
        <w:tc>
          <w:tcPr>
            <w:tcW w:w="1080" w:type="dxa"/>
            <w:shd w:val="clear" w:color="auto" w:fill="D9EAF7"/>
            <w:tcMar>
              <w:top w:w="55" w:type="dxa"/>
              <w:left w:w="55" w:type="dxa"/>
              <w:bottom w:w="55" w:type="dxa"/>
              <w:right w:w="55" w:type="dxa"/>
            </w:tcMar>
            <w:vAlign w:val="center"/>
          </w:tcPr>
          <w:p w14:paraId="226B39AA"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FCRA</w:t>
            </w:r>
            <w:r w:rsidRPr="00566B6A">
              <w:rPr>
                <w:rFonts w:ascii="Courier New" w:hAnsi="Courier New" w:cs="Courier New"/>
                <w:b/>
                <w:sz w:val="22"/>
              </w:rPr>
              <w:br/>
              <w:t>Overlap</w:t>
            </w:r>
          </w:p>
        </w:tc>
        <w:tc>
          <w:tcPr>
            <w:tcW w:w="1224" w:type="dxa"/>
            <w:shd w:val="clear" w:color="auto" w:fill="D9EAF7"/>
            <w:tcMar>
              <w:top w:w="55" w:type="dxa"/>
              <w:left w:w="55" w:type="dxa"/>
              <w:bottom w:w="55" w:type="dxa"/>
              <w:right w:w="55" w:type="dxa"/>
            </w:tcMar>
            <w:vAlign w:val="center"/>
          </w:tcPr>
          <w:p w14:paraId="068FF45F"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Preemption</w:t>
            </w:r>
            <w:r w:rsidRPr="00566B6A">
              <w:rPr>
                <w:rFonts w:ascii="Courier New" w:hAnsi="Courier New" w:cs="Courier New"/>
                <w:b/>
                <w:sz w:val="22"/>
              </w:rPr>
              <w:br/>
              <w:t>Risk</w:t>
            </w:r>
          </w:p>
        </w:tc>
        <w:tc>
          <w:tcPr>
            <w:tcW w:w="6768" w:type="dxa"/>
            <w:shd w:val="clear" w:color="auto" w:fill="D9EAF7"/>
            <w:tcMar>
              <w:top w:w="55" w:type="dxa"/>
              <w:left w:w="55" w:type="dxa"/>
              <w:bottom w:w="55" w:type="dxa"/>
              <w:right w:w="55" w:type="dxa"/>
            </w:tcMar>
            <w:vAlign w:val="center"/>
          </w:tcPr>
          <w:p w14:paraId="5B9E8A2C"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Procedural Framing</w:t>
            </w:r>
          </w:p>
        </w:tc>
      </w:tr>
      <w:tr w:rsidR="00756B19" w:rsidRPr="00566B6A" w14:paraId="755995F8" w14:textId="77777777">
        <w:trPr>
          <w:cantSplit/>
          <w:jc w:val="center"/>
        </w:trPr>
        <w:tc>
          <w:tcPr>
            <w:tcW w:w="2232" w:type="dxa"/>
            <w:tcMar>
              <w:top w:w="50" w:type="dxa"/>
              <w:left w:w="55" w:type="dxa"/>
              <w:bottom w:w="50" w:type="dxa"/>
              <w:right w:w="55" w:type="dxa"/>
            </w:tcMar>
          </w:tcPr>
          <w:p w14:paraId="455357D7"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CRA accuracy /</w:t>
            </w:r>
            <w:r w:rsidRPr="00566B6A">
              <w:rPr>
                <w:rFonts w:ascii="Courier New" w:hAnsi="Courier New" w:cs="Courier New"/>
                <w:sz w:val="22"/>
              </w:rPr>
              <w:br/>
              <w:t>reinvestigation</w:t>
            </w:r>
          </w:p>
        </w:tc>
        <w:tc>
          <w:tcPr>
            <w:tcW w:w="3096" w:type="dxa"/>
            <w:tcMar>
              <w:top w:w="50" w:type="dxa"/>
              <w:left w:w="55" w:type="dxa"/>
              <w:bottom w:w="50" w:type="dxa"/>
              <w:right w:w="55" w:type="dxa"/>
            </w:tcMar>
          </w:tcPr>
          <w:p w14:paraId="295DBD21"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Federal FCRA; Michigan identity-theft and freeze laws</w:t>
            </w:r>
          </w:p>
        </w:tc>
        <w:tc>
          <w:tcPr>
            <w:tcW w:w="1080" w:type="dxa"/>
            <w:tcMar>
              <w:top w:w="50" w:type="dxa"/>
              <w:left w:w="55" w:type="dxa"/>
              <w:bottom w:w="50" w:type="dxa"/>
              <w:right w:w="55" w:type="dxa"/>
            </w:tcMar>
          </w:tcPr>
          <w:p w14:paraId="0C2D75A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High</w:t>
            </w:r>
          </w:p>
        </w:tc>
        <w:tc>
          <w:tcPr>
            <w:tcW w:w="1224" w:type="dxa"/>
            <w:tcMar>
              <w:top w:w="50" w:type="dxa"/>
              <w:left w:w="55" w:type="dxa"/>
              <w:bottom w:w="50" w:type="dxa"/>
              <w:right w:w="55" w:type="dxa"/>
            </w:tcMar>
          </w:tcPr>
          <w:p w14:paraId="4707594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High</w:t>
            </w:r>
          </w:p>
        </w:tc>
        <w:tc>
          <w:tcPr>
            <w:tcW w:w="6768" w:type="dxa"/>
            <w:tcMar>
              <w:top w:w="50" w:type="dxa"/>
              <w:left w:w="55" w:type="dxa"/>
              <w:bottom w:w="50" w:type="dxa"/>
              <w:right w:w="55" w:type="dxa"/>
            </w:tcMar>
          </w:tcPr>
          <w:p w14:paraId="7FF8581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Use the federal dispute and verification record; avoid parallel Michigan reporting duties without specific authority.</w:t>
            </w:r>
          </w:p>
        </w:tc>
      </w:tr>
      <w:tr w:rsidR="00756B19" w:rsidRPr="00566B6A" w14:paraId="4F4323B2" w14:textId="77777777">
        <w:trPr>
          <w:cantSplit/>
          <w:jc w:val="center"/>
        </w:trPr>
        <w:tc>
          <w:tcPr>
            <w:tcW w:w="2232" w:type="dxa"/>
            <w:shd w:val="clear" w:color="auto" w:fill="F7FAFC"/>
            <w:tcMar>
              <w:top w:w="50" w:type="dxa"/>
              <w:left w:w="55" w:type="dxa"/>
              <w:bottom w:w="50" w:type="dxa"/>
              <w:right w:w="55" w:type="dxa"/>
            </w:tcMar>
          </w:tcPr>
          <w:p w14:paraId="08DB3CEA"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Furnisher</w:t>
            </w:r>
            <w:r w:rsidRPr="00566B6A">
              <w:rPr>
                <w:rFonts w:ascii="Courier New" w:hAnsi="Courier New" w:cs="Courier New"/>
                <w:sz w:val="22"/>
              </w:rPr>
              <w:br/>
              <w:t>reporting duties</w:t>
            </w:r>
          </w:p>
        </w:tc>
        <w:tc>
          <w:tcPr>
            <w:tcW w:w="3096" w:type="dxa"/>
            <w:shd w:val="clear" w:color="auto" w:fill="F7FAFC"/>
            <w:tcMar>
              <w:top w:w="50" w:type="dxa"/>
              <w:left w:w="55" w:type="dxa"/>
              <w:bottom w:w="50" w:type="dxa"/>
              <w:right w:w="55" w:type="dxa"/>
            </w:tcMar>
          </w:tcPr>
          <w:p w14:paraId="5DBC8D2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Federal FCRA; Michigan law evaluated only for distinct conduct</w:t>
            </w:r>
          </w:p>
        </w:tc>
        <w:tc>
          <w:tcPr>
            <w:tcW w:w="1080" w:type="dxa"/>
            <w:shd w:val="clear" w:color="auto" w:fill="F7FAFC"/>
            <w:tcMar>
              <w:top w:w="50" w:type="dxa"/>
              <w:left w:w="55" w:type="dxa"/>
              <w:bottom w:w="50" w:type="dxa"/>
              <w:right w:w="55" w:type="dxa"/>
            </w:tcMar>
          </w:tcPr>
          <w:p w14:paraId="25813C6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High</w:t>
            </w:r>
          </w:p>
        </w:tc>
        <w:tc>
          <w:tcPr>
            <w:tcW w:w="1224" w:type="dxa"/>
            <w:shd w:val="clear" w:color="auto" w:fill="F7FAFC"/>
            <w:tcMar>
              <w:top w:w="50" w:type="dxa"/>
              <w:left w:w="55" w:type="dxa"/>
              <w:bottom w:w="50" w:type="dxa"/>
              <w:right w:w="55" w:type="dxa"/>
            </w:tcMar>
          </w:tcPr>
          <w:p w14:paraId="69F7570B"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High</w:t>
            </w:r>
          </w:p>
        </w:tc>
        <w:tc>
          <w:tcPr>
            <w:tcW w:w="6768" w:type="dxa"/>
            <w:shd w:val="clear" w:color="auto" w:fill="F7FAFC"/>
            <w:tcMar>
              <w:top w:w="50" w:type="dxa"/>
              <w:left w:w="55" w:type="dxa"/>
              <w:bottom w:w="50" w:type="dxa"/>
              <w:right w:w="55" w:type="dxa"/>
            </w:tcMar>
          </w:tcPr>
          <w:p w14:paraId="50D3251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Use 15 U.S.C. § 1681s-2 and the bureau-dispute notice trail.</w:t>
            </w:r>
          </w:p>
        </w:tc>
      </w:tr>
      <w:tr w:rsidR="00756B19" w:rsidRPr="00566B6A" w14:paraId="7CEFD54B" w14:textId="77777777">
        <w:trPr>
          <w:cantSplit/>
          <w:jc w:val="center"/>
        </w:trPr>
        <w:tc>
          <w:tcPr>
            <w:tcW w:w="2232" w:type="dxa"/>
            <w:tcMar>
              <w:top w:w="50" w:type="dxa"/>
              <w:left w:w="55" w:type="dxa"/>
              <w:bottom w:w="50" w:type="dxa"/>
              <w:right w:w="55" w:type="dxa"/>
            </w:tcMar>
          </w:tcPr>
          <w:p w14:paraId="5DBD47EB"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Identity-theft</w:t>
            </w:r>
            <w:r w:rsidRPr="00566B6A">
              <w:rPr>
                <w:rFonts w:ascii="Courier New" w:hAnsi="Courier New" w:cs="Courier New"/>
                <w:sz w:val="22"/>
              </w:rPr>
              <w:br/>
              <w:t>blocking</w:t>
            </w:r>
          </w:p>
        </w:tc>
        <w:tc>
          <w:tcPr>
            <w:tcW w:w="3096" w:type="dxa"/>
            <w:tcMar>
              <w:top w:w="50" w:type="dxa"/>
              <w:left w:w="55" w:type="dxa"/>
              <w:bottom w:w="50" w:type="dxa"/>
              <w:right w:w="55" w:type="dxa"/>
            </w:tcMar>
          </w:tcPr>
          <w:p w14:paraId="417CDD8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MCL 445.65; Identity Theft Protection Act; federal FCRA</w:t>
            </w:r>
          </w:p>
        </w:tc>
        <w:tc>
          <w:tcPr>
            <w:tcW w:w="1080" w:type="dxa"/>
            <w:tcMar>
              <w:top w:w="50" w:type="dxa"/>
              <w:left w:w="55" w:type="dxa"/>
              <w:bottom w:w="50" w:type="dxa"/>
              <w:right w:w="55" w:type="dxa"/>
            </w:tcMar>
          </w:tcPr>
          <w:p w14:paraId="6E4C92F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Medium</w:t>
            </w:r>
          </w:p>
        </w:tc>
        <w:tc>
          <w:tcPr>
            <w:tcW w:w="1224" w:type="dxa"/>
            <w:tcMar>
              <w:top w:w="50" w:type="dxa"/>
              <w:left w:w="55" w:type="dxa"/>
              <w:bottom w:w="50" w:type="dxa"/>
              <w:right w:w="55" w:type="dxa"/>
            </w:tcMar>
          </w:tcPr>
          <w:p w14:paraId="0AAEC34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Low–Med</w:t>
            </w:r>
          </w:p>
        </w:tc>
        <w:tc>
          <w:tcPr>
            <w:tcW w:w="6768" w:type="dxa"/>
            <w:tcMar>
              <w:top w:w="50" w:type="dxa"/>
              <w:left w:w="55" w:type="dxa"/>
              <w:bottom w:w="50" w:type="dxa"/>
              <w:right w:w="55" w:type="dxa"/>
            </w:tcMar>
          </w:tcPr>
          <w:p w14:paraId="6D875C61"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Preserve police/FTC reports, exact disputed identifiers, freeze requests, and federal blocking submissions.</w:t>
            </w:r>
          </w:p>
        </w:tc>
      </w:tr>
      <w:tr w:rsidR="00756B19" w:rsidRPr="00566B6A" w14:paraId="3C0A2B33" w14:textId="77777777">
        <w:trPr>
          <w:cantSplit/>
          <w:jc w:val="center"/>
        </w:trPr>
        <w:tc>
          <w:tcPr>
            <w:tcW w:w="2232" w:type="dxa"/>
            <w:shd w:val="clear" w:color="auto" w:fill="F7FAFC"/>
            <w:tcMar>
              <w:top w:w="50" w:type="dxa"/>
              <w:left w:w="55" w:type="dxa"/>
              <w:bottom w:w="50" w:type="dxa"/>
              <w:right w:w="55" w:type="dxa"/>
            </w:tcMar>
          </w:tcPr>
          <w:p w14:paraId="17D6995B"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lastRenderedPageBreak/>
              <w:t>Deceptive</w:t>
            </w:r>
            <w:r w:rsidRPr="00566B6A">
              <w:rPr>
                <w:rFonts w:ascii="Courier New" w:hAnsi="Courier New" w:cs="Courier New"/>
                <w:sz w:val="22"/>
              </w:rPr>
              <w:br/>
              <w:t>collection</w:t>
            </w:r>
            <w:r w:rsidRPr="00566B6A">
              <w:rPr>
                <w:rFonts w:ascii="Courier New" w:hAnsi="Courier New" w:cs="Courier New"/>
                <w:sz w:val="22"/>
              </w:rPr>
              <w:br/>
              <w:t>conduct</w:t>
            </w:r>
          </w:p>
        </w:tc>
        <w:tc>
          <w:tcPr>
            <w:tcW w:w="3096" w:type="dxa"/>
            <w:shd w:val="clear" w:color="auto" w:fill="F7FAFC"/>
            <w:tcMar>
              <w:top w:w="50" w:type="dxa"/>
              <w:left w:w="55" w:type="dxa"/>
              <w:bottom w:w="50" w:type="dxa"/>
              <w:right w:w="55" w:type="dxa"/>
            </w:tcMar>
          </w:tcPr>
          <w:p w14:paraId="1EC5FC52"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MCL 445.251–445.258; federal FDCPA</w:t>
            </w:r>
          </w:p>
        </w:tc>
        <w:tc>
          <w:tcPr>
            <w:tcW w:w="1080" w:type="dxa"/>
            <w:shd w:val="clear" w:color="auto" w:fill="F7FAFC"/>
            <w:tcMar>
              <w:top w:w="50" w:type="dxa"/>
              <w:left w:w="55" w:type="dxa"/>
              <w:bottom w:w="50" w:type="dxa"/>
              <w:right w:w="55" w:type="dxa"/>
            </w:tcMar>
          </w:tcPr>
          <w:p w14:paraId="2C6D9B7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Low</w:t>
            </w:r>
          </w:p>
        </w:tc>
        <w:tc>
          <w:tcPr>
            <w:tcW w:w="1224" w:type="dxa"/>
            <w:shd w:val="clear" w:color="auto" w:fill="F7FAFC"/>
            <w:tcMar>
              <w:top w:w="50" w:type="dxa"/>
              <w:left w:w="55" w:type="dxa"/>
              <w:bottom w:w="50" w:type="dxa"/>
              <w:right w:w="55" w:type="dxa"/>
            </w:tcMar>
          </w:tcPr>
          <w:p w14:paraId="03F247F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Low</w:t>
            </w:r>
          </w:p>
        </w:tc>
        <w:tc>
          <w:tcPr>
            <w:tcW w:w="6768" w:type="dxa"/>
            <w:shd w:val="clear" w:color="auto" w:fill="F7FAFC"/>
            <w:tcMar>
              <w:top w:w="50" w:type="dxa"/>
              <w:left w:w="55" w:type="dxa"/>
              <w:bottom w:w="50" w:type="dxa"/>
              <w:right w:w="55" w:type="dxa"/>
            </w:tcMar>
          </w:tcPr>
          <w:p w14:paraId="00BF0AB3"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Preserve communications, collector status, disputed amount, payment ledger, dispute requests, and damages.</w:t>
            </w:r>
          </w:p>
        </w:tc>
      </w:tr>
      <w:tr w:rsidR="00756B19" w:rsidRPr="00566B6A" w14:paraId="6C632A57" w14:textId="77777777">
        <w:trPr>
          <w:cantSplit/>
          <w:jc w:val="center"/>
        </w:trPr>
        <w:tc>
          <w:tcPr>
            <w:tcW w:w="2232" w:type="dxa"/>
            <w:tcMar>
              <w:top w:w="50" w:type="dxa"/>
              <w:left w:w="55" w:type="dxa"/>
              <w:bottom w:w="50" w:type="dxa"/>
              <w:right w:w="55" w:type="dxa"/>
            </w:tcMar>
          </w:tcPr>
          <w:p w14:paraId="6D2829E1"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Security-freeze</w:t>
            </w:r>
            <w:r w:rsidRPr="00566B6A">
              <w:rPr>
                <w:rFonts w:ascii="Courier New" w:hAnsi="Courier New" w:cs="Courier New"/>
                <w:sz w:val="22"/>
              </w:rPr>
              <w:br/>
              <w:t>violations</w:t>
            </w:r>
          </w:p>
        </w:tc>
        <w:tc>
          <w:tcPr>
            <w:tcW w:w="3096" w:type="dxa"/>
            <w:tcMar>
              <w:top w:w="50" w:type="dxa"/>
              <w:left w:w="55" w:type="dxa"/>
              <w:bottom w:w="50" w:type="dxa"/>
              <w:right w:w="55" w:type="dxa"/>
            </w:tcMar>
          </w:tcPr>
          <w:p w14:paraId="38DB86B0"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MCL 445.2511–445.2542</w:t>
            </w:r>
          </w:p>
        </w:tc>
        <w:tc>
          <w:tcPr>
            <w:tcW w:w="1080" w:type="dxa"/>
            <w:tcMar>
              <w:top w:w="50" w:type="dxa"/>
              <w:left w:w="55" w:type="dxa"/>
              <w:bottom w:w="50" w:type="dxa"/>
              <w:right w:w="55" w:type="dxa"/>
            </w:tcMar>
          </w:tcPr>
          <w:p w14:paraId="58CAE1C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Medium</w:t>
            </w:r>
          </w:p>
        </w:tc>
        <w:tc>
          <w:tcPr>
            <w:tcW w:w="1224" w:type="dxa"/>
            <w:tcMar>
              <w:top w:w="50" w:type="dxa"/>
              <w:left w:w="55" w:type="dxa"/>
              <w:bottom w:w="50" w:type="dxa"/>
              <w:right w:w="55" w:type="dxa"/>
            </w:tcMar>
          </w:tcPr>
          <w:p w14:paraId="7A44994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Low</w:t>
            </w:r>
          </w:p>
        </w:tc>
        <w:tc>
          <w:tcPr>
            <w:tcW w:w="6768" w:type="dxa"/>
            <w:tcMar>
              <w:top w:w="50" w:type="dxa"/>
              <w:left w:w="55" w:type="dxa"/>
              <w:bottom w:w="50" w:type="dxa"/>
              <w:right w:w="55" w:type="dxa"/>
            </w:tcMar>
          </w:tcPr>
          <w:p w14:paraId="34BA5BDE"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Preserve freeze confirmation, release history, lift or removal request, notice, complaint record, and damages.</w:t>
            </w:r>
          </w:p>
        </w:tc>
      </w:tr>
      <w:tr w:rsidR="00756B19" w:rsidRPr="00566B6A" w14:paraId="3F8E56BF" w14:textId="77777777">
        <w:trPr>
          <w:cantSplit/>
          <w:jc w:val="center"/>
        </w:trPr>
        <w:tc>
          <w:tcPr>
            <w:tcW w:w="2232" w:type="dxa"/>
            <w:shd w:val="clear" w:color="auto" w:fill="F7FAFC"/>
            <w:tcMar>
              <w:top w:w="50" w:type="dxa"/>
              <w:left w:w="55" w:type="dxa"/>
              <w:bottom w:w="50" w:type="dxa"/>
              <w:right w:w="55" w:type="dxa"/>
            </w:tcMar>
          </w:tcPr>
          <w:p w14:paraId="335C2B8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Data breach /</w:t>
            </w:r>
            <w:r w:rsidRPr="00566B6A">
              <w:rPr>
                <w:rFonts w:ascii="Courier New" w:hAnsi="Courier New" w:cs="Courier New"/>
                <w:sz w:val="22"/>
              </w:rPr>
              <w:br/>
              <w:t>privacy</w:t>
            </w:r>
          </w:p>
        </w:tc>
        <w:tc>
          <w:tcPr>
            <w:tcW w:w="3096" w:type="dxa"/>
            <w:shd w:val="clear" w:color="auto" w:fill="F7FAFC"/>
            <w:tcMar>
              <w:top w:w="50" w:type="dxa"/>
              <w:left w:w="55" w:type="dxa"/>
              <w:bottom w:w="50" w:type="dxa"/>
              <w:right w:w="55" w:type="dxa"/>
            </w:tcMar>
          </w:tcPr>
          <w:p w14:paraId="71FE2D9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MCL 445.72</w:t>
            </w:r>
          </w:p>
        </w:tc>
        <w:tc>
          <w:tcPr>
            <w:tcW w:w="1080" w:type="dxa"/>
            <w:shd w:val="clear" w:color="auto" w:fill="F7FAFC"/>
            <w:tcMar>
              <w:top w:w="50" w:type="dxa"/>
              <w:left w:w="55" w:type="dxa"/>
              <w:bottom w:w="50" w:type="dxa"/>
              <w:right w:w="55" w:type="dxa"/>
            </w:tcMar>
          </w:tcPr>
          <w:p w14:paraId="3F289E87"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Low</w:t>
            </w:r>
          </w:p>
        </w:tc>
        <w:tc>
          <w:tcPr>
            <w:tcW w:w="1224" w:type="dxa"/>
            <w:shd w:val="clear" w:color="auto" w:fill="F7FAFC"/>
            <w:tcMar>
              <w:top w:w="50" w:type="dxa"/>
              <w:left w:w="55" w:type="dxa"/>
              <w:bottom w:w="50" w:type="dxa"/>
              <w:right w:w="55" w:type="dxa"/>
            </w:tcMar>
          </w:tcPr>
          <w:p w14:paraId="14566767"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Low</w:t>
            </w:r>
          </w:p>
        </w:tc>
        <w:tc>
          <w:tcPr>
            <w:tcW w:w="6768" w:type="dxa"/>
            <w:shd w:val="clear" w:color="auto" w:fill="F7FAFC"/>
            <w:tcMar>
              <w:top w:w="50" w:type="dxa"/>
              <w:left w:w="55" w:type="dxa"/>
              <w:bottom w:w="50" w:type="dxa"/>
              <w:right w:w="55" w:type="dxa"/>
            </w:tcMar>
          </w:tcPr>
          <w:p w14:paraId="51C9A36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Keep breach notice, data elements, dates, investigation findings, agency notice, and remediation.</w:t>
            </w:r>
          </w:p>
        </w:tc>
      </w:tr>
      <w:tr w:rsidR="00756B19" w:rsidRPr="00566B6A" w14:paraId="08555920" w14:textId="77777777">
        <w:trPr>
          <w:cantSplit/>
          <w:jc w:val="center"/>
        </w:trPr>
        <w:tc>
          <w:tcPr>
            <w:tcW w:w="2232" w:type="dxa"/>
            <w:tcMar>
              <w:top w:w="50" w:type="dxa"/>
              <w:left w:w="55" w:type="dxa"/>
              <w:bottom w:w="50" w:type="dxa"/>
              <w:right w:w="55" w:type="dxa"/>
            </w:tcMar>
          </w:tcPr>
          <w:p w14:paraId="52A2BD4B"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UDAP deceptive</w:t>
            </w:r>
            <w:r w:rsidRPr="00566B6A">
              <w:rPr>
                <w:rFonts w:ascii="Courier New" w:hAnsi="Courier New" w:cs="Courier New"/>
                <w:sz w:val="22"/>
              </w:rPr>
              <w:br/>
              <w:t>practices</w:t>
            </w:r>
          </w:p>
        </w:tc>
        <w:tc>
          <w:tcPr>
            <w:tcW w:w="3096" w:type="dxa"/>
            <w:tcMar>
              <w:top w:w="50" w:type="dxa"/>
              <w:left w:w="55" w:type="dxa"/>
              <w:bottom w:w="50" w:type="dxa"/>
              <w:right w:w="55" w:type="dxa"/>
            </w:tcMar>
          </w:tcPr>
          <w:p w14:paraId="4844D34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MCPA, MCL 445.901–445.922</w:t>
            </w:r>
          </w:p>
        </w:tc>
        <w:tc>
          <w:tcPr>
            <w:tcW w:w="1080" w:type="dxa"/>
            <w:tcMar>
              <w:top w:w="50" w:type="dxa"/>
              <w:left w:w="55" w:type="dxa"/>
              <w:bottom w:w="50" w:type="dxa"/>
              <w:right w:w="55" w:type="dxa"/>
            </w:tcMar>
          </w:tcPr>
          <w:p w14:paraId="1369BC8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Low</w:t>
            </w:r>
          </w:p>
        </w:tc>
        <w:tc>
          <w:tcPr>
            <w:tcW w:w="1224" w:type="dxa"/>
            <w:tcMar>
              <w:top w:w="50" w:type="dxa"/>
              <w:left w:w="55" w:type="dxa"/>
              <w:bottom w:w="50" w:type="dxa"/>
              <w:right w:w="55" w:type="dxa"/>
            </w:tcMar>
          </w:tcPr>
          <w:p w14:paraId="5A73802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Low–Med</w:t>
            </w:r>
          </w:p>
        </w:tc>
        <w:tc>
          <w:tcPr>
            <w:tcW w:w="6768" w:type="dxa"/>
            <w:tcMar>
              <w:top w:w="50" w:type="dxa"/>
              <w:left w:w="55" w:type="dxa"/>
              <w:bottom w:w="50" w:type="dxa"/>
              <w:right w:w="55" w:type="dxa"/>
            </w:tcMar>
          </w:tcPr>
          <w:p w14:paraId="1C085FF1"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Frame distinct trade conduct, prohibited practice, loss, causation, exemption analysis, and six-year timing.</w:t>
            </w:r>
          </w:p>
        </w:tc>
      </w:tr>
    </w:tbl>
    <w:p w14:paraId="4D48D96C" w14:textId="77777777" w:rsidR="00756B19" w:rsidRPr="00566B6A" w:rsidRDefault="00756B19">
      <w:pPr>
        <w:spacing w:after="20"/>
        <w:rPr>
          <w:rFonts w:ascii="Courier New" w:hAnsi="Courier New" w:cs="Courier New"/>
          <w:sz w:val="22"/>
        </w:rPr>
      </w:pPr>
    </w:p>
    <w:p w14:paraId="7EC9D1EE" w14:textId="77777777" w:rsidR="00756B19" w:rsidRPr="00566B6A" w:rsidRDefault="00F247EE">
      <w:pPr>
        <w:spacing w:after="60"/>
        <w:rPr>
          <w:rFonts w:ascii="Courier New" w:hAnsi="Courier New" w:cs="Courier New"/>
          <w:sz w:val="22"/>
        </w:rPr>
      </w:pPr>
      <w:r w:rsidRPr="00566B6A">
        <w:rPr>
          <w:rFonts w:ascii="Courier New" w:hAnsi="Courier New" w:cs="Courier New"/>
          <w:b/>
          <w:sz w:val="22"/>
        </w:rPr>
        <w:t>Safer zones (generally): distinct identity-theft conduct, deceptive collection communications, security-freeze violations, breach-notification duties, and MCPA deception factually separate from CRA or furnisher reporting obligations.</w:t>
      </w:r>
    </w:p>
    <w:p w14:paraId="1F87A587" w14:textId="77777777" w:rsidR="00756B19" w:rsidRPr="00566B6A" w:rsidRDefault="00F247EE">
      <w:pPr>
        <w:spacing w:after="60"/>
        <w:rPr>
          <w:rFonts w:ascii="Courier New" w:hAnsi="Courier New" w:cs="Courier New"/>
          <w:sz w:val="22"/>
        </w:rPr>
      </w:pPr>
      <w:r w:rsidRPr="00566B6A">
        <w:rPr>
          <w:rFonts w:ascii="Courier New" w:hAnsi="Courier New" w:cs="Courier New"/>
          <w:b/>
          <w:sz w:val="22"/>
        </w:rPr>
        <w:t>Risky zones (generally): Michigan claims that attempt to impose accuracy, reinvestigation, dispute-processing, or furnishing duties parallel to or inconsistent with the federal FCRA.</w:t>
      </w:r>
    </w:p>
    <w:p w14:paraId="31E5EE81" w14:textId="77777777" w:rsidR="00756B19" w:rsidRPr="00566B6A" w:rsidRDefault="00F247EE">
      <w:pPr>
        <w:spacing w:after="60"/>
        <w:rPr>
          <w:rFonts w:ascii="Courier New" w:hAnsi="Courier New" w:cs="Courier New"/>
          <w:sz w:val="22"/>
        </w:rPr>
      </w:pPr>
      <w:r w:rsidRPr="00566B6A">
        <w:rPr>
          <w:rFonts w:ascii="Courier New" w:hAnsi="Courier New" w:cs="Courier New"/>
          <w:i/>
          <w:sz w:val="22"/>
        </w:rPr>
        <w:t>No legal conclusions or outcome predictions are provided.</w:t>
      </w:r>
    </w:p>
    <w:p w14:paraId="5CFBA91F" w14:textId="77777777" w:rsidR="00756B19" w:rsidRPr="00566B6A" w:rsidRDefault="00F247EE">
      <w:pPr>
        <w:pStyle w:val="Heading1"/>
        <w:spacing w:before="160" w:after="80"/>
        <w:rPr>
          <w:rFonts w:ascii="Courier New" w:hAnsi="Courier New" w:cs="Courier New"/>
          <w:color w:val="auto"/>
          <w:sz w:val="22"/>
          <w:szCs w:val="22"/>
        </w:rPr>
      </w:pPr>
      <w:r w:rsidRPr="00566B6A">
        <w:rPr>
          <w:rFonts w:ascii="Courier New" w:eastAsia="Arial" w:hAnsi="Courier New" w:cs="Courier New"/>
          <w:color w:val="auto"/>
          <w:sz w:val="22"/>
          <w:szCs w:val="22"/>
        </w:rPr>
        <w:t>PART D — STATE-FIRST FACT-FINDING STRATEGY (IMPLEMENTATION PLAYBOOK)</w:t>
      </w:r>
    </w:p>
    <w:p w14:paraId="3D93F76F" w14:textId="77777777" w:rsidR="00756B19" w:rsidRPr="00566B6A" w:rsidRDefault="00F247EE">
      <w:pPr>
        <w:ind w:left="72"/>
        <w:rPr>
          <w:rFonts w:ascii="Courier New" w:hAnsi="Courier New" w:cs="Courier New"/>
          <w:sz w:val="22"/>
        </w:rPr>
      </w:pPr>
      <w:r w:rsidRPr="00566B6A">
        <w:rPr>
          <w:rFonts w:ascii="Courier New" w:hAnsi="Courier New" w:cs="Courier New"/>
          <w:b/>
          <w:sz w:val="22"/>
        </w:rPr>
        <w:t xml:space="preserve">Step 1 — </w:t>
      </w:r>
      <w:r w:rsidRPr="00566B6A">
        <w:rPr>
          <w:rFonts w:ascii="Courier New" w:hAnsi="Courier New" w:cs="Courier New"/>
          <w:sz w:val="22"/>
        </w:rPr>
        <w:t>Review credit reports for inaccuracies line-by-line against the bureau PDFs.</w:t>
      </w:r>
    </w:p>
    <w:p w14:paraId="708829C0" w14:textId="77777777" w:rsidR="00756B19" w:rsidRPr="00566B6A" w:rsidRDefault="00F247EE">
      <w:pPr>
        <w:ind w:left="72"/>
        <w:rPr>
          <w:rFonts w:ascii="Courier New" w:hAnsi="Courier New" w:cs="Courier New"/>
          <w:sz w:val="22"/>
        </w:rPr>
      </w:pPr>
      <w:r w:rsidRPr="00566B6A">
        <w:rPr>
          <w:rFonts w:ascii="Courier New" w:hAnsi="Courier New" w:cs="Courier New"/>
          <w:b/>
          <w:sz w:val="22"/>
        </w:rPr>
        <w:t xml:space="preserve">Step 2 — </w:t>
      </w:r>
      <w:r w:rsidRPr="00566B6A">
        <w:rPr>
          <w:rFonts w:ascii="Courier New" w:hAnsi="Courier New" w:cs="Courier New"/>
          <w:sz w:val="22"/>
        </w:rPr>
        <w:t>Submit written CRA and furnisher disputes with proof of service, using certified mail or verifiable electronic proof.</w:t>
      </w:r>
    </w:p>
    <w:p w14:paraId="32B68F15" w14:textId="77777777" w:rsidR="00756B19" w:rsidRPr="00566B6A" w:rsidRDefault="00F247EE">
      <w:pPr>
        <w:ind w:left="72"/>
        <w:rPr>
          <w:rFonts w:ascii="Courier New" w:hAnsi="Courier New" w:cs="Courier New"/>
          <w:sz w:val="22"/>
        </w:rPr>
      </w:pPr>
      <w:r w:rsidRPr="00566B6A">
        <w:rPr>
          <w:rFonts w:ascii="Courier New" w:hAnsi="Courier New" w:cs="Courier New"/>
          <w:b/>
          <w:sz w:val="22"/>
        </w:rPr>
        <w:t xml:space="preserve">Step 3 — </w:t>
      </w:r>
      <w:r w:rsidRPr="00566B6A">
        <w:rPr>
          <w:rFonts w:ascii="Courier New" w:hAnsi="Courier New" w:cs="Courier New"/>
          <w:sz w:val="22"/>
        </w:rPr>
        <w:t>Request and preserve the contract, ledger, date-of-first-delinquency support, ownership chain, inquiry logs, and account-level data.</w:t>
      </w:r>
    </w:p>
    <w:p w14:paraId="209BD480" w14:textId="77777777" w:rsidR="00756B19" w:rsidRPr="00566B6A" w:rsidRDefault="00F247EE">
      <w:pPr>
        <w:ind w:left="72"/>
        <w:rPr>
          <w:rFonts w:ascii="Courier New" w:hAnsi="Courier New" w:cs="Courier New"/>
          <w:sz w:val="22"/>
        </w:rPr>
      </w:pPr>
      <w:r w:rsidRPr="00566B6A">
        <w:rPr>
          <w:rFonts w:ascii="Courier New" w:hAnsi="Courier New" w:cs="Courier New"/>
          <w:b/>
          <w:sz w:val="22"/>
        </w:rPr>
        <w:t xml:space="preserve">Step 4 — </w:t>
      </w:r>
      <w:r w:rsidRPr="00566B6A">
        <w:rPr>
          <w:rFonts w:ascii="Courier New" w:hAnsi="Courier New" w:cs="Courier New"/>
          <w:sz w:val="22"/>
        </w:rPr>
        <w:t>Submit a method-of-verification or verification-description request under 15 U.S.C. § 1681i(a)(6), where applicable.</w:t>
      </w:r>
    </w:p>
    <w:p w14:paraId="1533EB00" w14:textId="77777777" w:rsidR="00756B19" w:rsidRPr="00566B6A" w:rsidRDefault="00F247EE">
      <w:pPr>
        <w:ind w:left="72"/>
        <w:rPr>
          <w:rFonts w:ascii="Courier New" w:hAnsi="Courier New" w:cs="Courier New"/>
          <w:sz w:val="22"/>
        </w:rPr>
      </w:pPr>
      <w:r w:rsidRPr="00566B6A">
        <w:rPr>
          <w:rFonts w:ascii="Courier New" w:hAnsi="Courier New" w:cs="Courier New"/>
          <w:b/>
          <w:sz w:val="22"/>
        </w:rPr>
        <w:t>Step 5 — File a Michigan complaint with the Attorney General or the Department of Licensing and Regulatory Affairs as the subject and agency jurisdiction require; retain confirmation numbers.</w:t>
      </w:r>
    </w:p>
    <w:p w14:paraId="03CB10D5" w14:textId="77777777" w:rsidR="00756B19" w:rsidRPr="00566B6A" w:rsidRDefault="00F247EE">
      <w:pPr>
        <w:ind w:left="72"/>
        <w:rPr>
          <w:rFonts w:ascii="Courier New" w:hAnsi="Courier New" w:cs="Courier New"/>
          <w:sz w:val="22"/>
        </w:rPr>
      </w:pPr>
      <w:r w:rsidRPr="00566B6A">
        <w:rPr>
          <w:rFonts w:ascii="Courier New" w:hAnsi="Courier New" w:cs="Courier New"/>
          <w:b/>
          <w:sz w:val="22"/>
        </w:rPr>
        <w:lastRenderedPageBreak/>
        <w:t xml:space="preserve">Step 6 — </w:t>
      </w:r>
      <w:r w:rsidRPr="00566B6A">
        <w:rPr>
          <w:rFonts w:ascii="Courier New" w:hAnsi="Courier New" w:cs="Courier New"/>
          <w:sz w:val="22"/>
        </w:rPr>
        <w:t>Preserve agency responses and index all events chronologically.</w:t>
      </w:r>
    </w:p>
    <w:p w14:paraId="205166D7" w14:textId="77777777" w:rsidR="00756B19" w:rsidRPr="00566B6A" w:rsidRDefault="00F247EE">
      <w:pPr>
        <w:ind w:left="72"/>
        <w:rPr>
          <w:rFonts w:ascii="Courier New" w:hAnsi="Courier New" w:cs="Courier New"/>
          <w:sz w:val="22"/>
        </w:rPr>
      </w:pPr>
      <w:r w:rsidRPr="00566B6A">
        <w:rPr>
          <w:rFonts w:ascii="Courier New" w:hAnsi="Courier New" w:cs="Courier New"/>
          <w:b/>
          <w:sz w:val="22"/>
        </w:rPr>
        <w:t xml:space="preserve">Step 7 — </w:t>
      </w:r>
      <w:r w:rsidRPr="00566B6A">
        <w:rPr>
          <w:rFonts w:ascii="Courier New" w:hAnsi="Courier New" w:cs="Courier New"/>
          <w:sz w:val="22"/>
        </w:rPr>
        <w:t>Escalate unresolved federal issues to the CFPB or FTC after state intake, where appropriate.</w:t>
      </w:r>
    </w:p>
    <w:p w14:paraId="6DE30711" w14:textId="77777777" w:rsidR="00756B19" w:rsidRDefault="00F247EE">
      <w:pPr>
        <w:ind w:left="72"/>
        <w:rPr>
          <w:rFonts w:ascii="Courier New" w:hAnsi="Courier New" w:cs="Courier New"/>
          <w:sz w:val="22"/>
        </w:rPr>
      </w:pPr>
      <w:r w:rsidRPr="00566B6A">
        <w:rPr>
          <w:rFonts w:ascii="Courier New" w:hAnsi="Courier New" w:cs="Courier New"/>
          <w:b/>
          <w:sz w:val="22"/>
        </w:rPr>
        <w:t xml:space="preserve">Step 8 — </w:t>
      </w:r>
      <w:r w:rsidRPr="00566B6A">
        <w:rPr>
          <w:rFonts w:ascii="Courier New" w:hAnsi="Courier New" w:cs="Courier New"/>
          <w:sz w:val="22"/>
        </w:rPr>
        <w:t>Maintain an evidence index with exhibit labels (A-1, A-2, …).</w:t>
      </w:r>
    </w:p>
    <w:p w14:paraId="116CE4F4" w14:textId="77777777" w:rsidR="00964317" w:rsidRPr="00566B6A" w:rsidRDefault="00964317">
      <w:pPr>
        <w:ind w:left="72"/>
        <w:rPr>
          <w:rFonts w:ascii="Courier New" w:hAnsi="Courier New" w:cs="Courier New"/>
          <w:sz w:val="22"/>
        </w:rPr>
      </w:pPr>
    </w:p>
    <w:p w14:paraId="39930386" w14:textId="77777777" w:rsidR="00756B19" w:rsidRDefault="00F247EE">
      <w:pPr>
        <w:pStyle w:val="Heading2"/>
        <w:spacing w:before="100" w:after="40"/>
        <w:rPr>
          <w:rFonts w:ascii="Courier New" w:eastAsia="Arial" w:hAnsi="Courier New" w:cs="Courier New"/>
          <w:color w:val="auto"/>
          <w:sz w:val="22"/>
          <w:szCs w:val="22"/>
        </w:rPr>
      </w:pPr>
      <w:r w:rsidRPr="00566B6A">
        <w:rPr>
          <w:rFonts w:ascii="Courier New" w:eastAsia="Arial" w:hAnsi="Courier New" w:cs="Courier New"/>
          <w:color w:val="auto"/>
          <w:sz w:val="22"/>
          <w:szCs w:val="22"/>
        </w:rPr>
        <w:t>STATE Record → FCRA Element Mapping (Educational)</w:t>
      </w:r>
    </w:p>
    <w:p w14:paraId="7AD968F4" w14:textId="77777777" w:rsidR="00964317" w:rsidRPr="00964317" w:rsidRDefault="00964317" w:rsidP="00964317"/>
    <w:tbl>
      <w:tblPr>
        <w:tblStyle w:val="TableGrid"/>
        <w:tblW w:w="0" w:type="auto"/>
        <w:jc w:val="center"/>
        <w:tblLayout w:type="fixed"/>
        <w:tblLook w:val="04A0" w:firstRow="1" w:lastRow="0" w:firstColumn="1" w:lastColumn="0" w:noHBand="0" w:noVBand="1"/>
      </w:tblPr>
      <w:tblGrid>
        <w:gridCol w:w="6048"/>
        <w:gridCol w:w="8352"/>
      </w:tblGrid>
      <w:tr w:rsidR="00756B19" w:rsidRPr="00566B6A" w14:paraId="23D1468C" w14:textId="77777777">
        <w:trPr>
          <w:cantSplit/>
          <w:tblHeader/>
          <w:jc w:val="center"/>
        </w:trPr>
        <w:tc>
          <w:tcPr>
            <w:tcW w:w="6048" w:type="dxa"/>
            <w:shd w:val="clear" w:color="auto" w:fill="D9EAF7"/>
            <w:tcMar>
              <w:top w:w="55" w:type="dxa"/>
              <w:left w:w="55" w:type="dxa"/>
              <w:bottom w:w="55" w:type="dxa"/>
              <w:right w:w="55" w:type="dxa"/>
            </w:tcMar>
            <w:vAlign w:val="center"/>
          </w:tcPr>
          <w:p w14:paraId="57FAF855"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Administrative Record Item</w:t>
            </w:r>
          </w:p>
        </w:tc>
        <w:tc>
          <w:tcPr>
            <w:tcW w:w="8352" w:type="dxa"/>
            <w:shd w:val="clear" w:color="auto" w:fill="D9EAF7"/>
            <w:tcMar>
              <w:top w:w="55" w:type="dxa"/>
              <w:left w:w="55" w:type="dxa"/>
              <w:bottom w:w="55" w:type="dxa"/>
              <w:right w:w="55" w:type="dxa"/>
            </w:tcMar>
            <w:vAlign w:val="center"/>
          </w:tcPr>
          <w:p w14:paraId="5215A7C0"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FCRA / State-Law Element Supported</w:t>
            </w:r>
          </w:p>
        </w:tc>
      </w:tr>
      <w:tr w:rsidR="00756B19" w:rsidRPr="00566B6A" w14:paraId="67E5BD99" w14:textId="77777777">
        <w:trPr>
          <w:cantSplit/>
          <w:jc w:val="center"/>
        </w:trPr>
        <w:tc>
          <w:tcPr>
            <w:tcW w:w="6048" w:type="dxa"/>
            <w:tcMar>
              <w:top w:w="50" w:type="dxa"/>
              <w:left w:w="55" w:type="dxa"/>
              <w:bottom w:w="50" w:type="dxa"/>
              <w:right w:w="55" w:type="dxa"/>
            </w:tcMar>
          </w:tcPr>
          <w:p w14:paraId="2E8C1B83"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Dated dispute + proof of service</w:t>
            </w:r>
          </w:p>
        </w:tc>
        <w:tc>
          <w:tcPr>
            <w:tcW w:w="8352" w:type="dxa"/>
            <w:tcMar>
              <w:top w:w="50" w:type="dxa"/>
              <w:left w:w="55" w:type="dxa"/>
              <w:bottom w:w="50" w:type="dxa"/>
              <w:right w:w="55" w:type="dxa"/>
            </w:tcMar>
          </w:tcPr>
          <w:p w14:paraId="5008425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Notice and dispute initiation</w:t>
            </w:r>
          </w:p>
        </w:tc>
      </w:tr>
      <w:tr w:rsidR="00756B19" w:rsidRPr="00566B6A" w14:paraId="55F078A6" w14:textId="77777777">
        <w:trPr>
          <w:cantSplit/>
          <w:jc w:val="center"/>
        </w:trPr>
        <w:tc>
          <w:tcPr>
            <w:tcW w:w="6048" w:type="dxa"/>
            <w:shd w:val="clear" w:color="auto" w:fill="F7FAFC"/>
            <w:tcMar>
              <w:top w:w="50" w:type="dxa"/>
              <w:left w:w="55" w:type="dxa"/>
              <w:bottom w:w="50" w:type="dxa"/>
              <w:right w:w="55" w:type="dxa"/>
            </w:tcMar>
          </w:tcPr>
          <w:p w14:paraId="73A7870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CRA response + method-of-verification disclosure</w:t>
            </w:r>
          </w:p>
        </w:tc>
        <w:tc>
          <w:tcPr>
            <w:tcW w:w="8352" w:type="dxa"/>
            <w:shd w:val="clear" w:color="auto" w:fill="F7FAFC"/>
            <w:tcMar>
              <w:top w:w="50" w:type="dxa"/>
              <w:left w:w="55" w:type="dxa"/>
              <w:bottom w:w="50" w:type="dxa"/>
              <w:right w:w="55" w:type="dxa"/>
            </w:tcMar>
          </w:tcPr>
          <w:p w14:paraId="7CF4C9D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Reasonableness and procedure transparency</w:t>
            </w:r>
          </w:p>
        </w:tc>
      </w:tr>
      <w:tr w:rsidR="00756B19" w:rsidRPr="00566B6A" w14:paraId="123FB0A1" w14:textId="77777777">
        <w:trPr>
          <w:cantSplit/>
          <w:jc w:val="center"/>
        </w:trPr>
        <w:tc>
          <w:tcPr>
            <w:tcW w:w="6048" w:type="dxa"/>
            <w:tcMar>
              <w:top w:w="50" w:type="dxa"/>
              <w:left w:w="55" w:type="dxa"/>
              <w:bottom w:w="50" w:type="dxa"/>
              <w:right w:w="55" w:type="dxa"/>
            </w:tcMar>
          </w:tcPr>
          <w:p w14:paraId="05516B0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Furnisher silence or generic verification</w:t>
            </w:r>
          </w:p>
        </w:tc>
        <w:tc>
          <w:tcPr>
            <w:tcW w:w="8352" w:type="dxa"/>
            <w:tcMar>
              <w:top w:w="50" w:type="dxa"/>
              <w:left w:w="55" w:type="dxa"/>
              <w:bottom w:w="50" w:type="dxa"/>
              <w:right w:w="55" w:type="dxa"/>
            </w:tcMar>
          </w:tcPr>
          <w:p w14:paraId="1F837C2E"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Potential deficiency requiring further documentation; no liability conclusion</w:t>
            </w:r>
          </w:p>
        </w:tc>
      </w:tr>
      <w:tr w:rsidR="00756B19" w:rsidRPr="00566B6A" w14:paraId="20BCF233" w14:textId="77777777">
        <w:trPr>
          <w:cantSplit/>
          <w:jc w:val="center"/>
        </w:trPr>
        <w:tc>
          <w:tcPr>
            <w:tcW w:w="6048" w:type="dxa"/>
            <w:shd w:val="clear" w:color="auto" w:fill="F7FAFC"/>
            <w:tcMar>
              <w:top w:w="50" w:type="dxa"/>
              <w:left w:w="55" w:type="dxa"/>
              <w:bottom w:w="50" w:type="dxa"/>
              <w:right w:w="55" w:type="dxa"/>
            </w:tcMar>
          </w:tcPr>
          <w:p w14:paraId="3067C1A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Michigan AG / LARA complaint + agency ID</w:t>
            </w:r>
          </w:p>
        </w:tc>
        <w:tc>
          <w:tcPr>
            <w:tcW w:w="8352" w:type="dxa"/>
            <w:shd w:val="clear" w:color="auto" w:fill="F7FAFC"/>
            <w:tcMar>
              <w:top w:w="50" w:type="dxa"/>
              <w:left w:w="55" w:type="dxa"/>
              <w:bottom w:w="50" w:type="dxa"/>
              <w:right w:w="55" w:type="dxa"/>
            </w:tcMar>
          </w:tcPr>
          <w:p w14:paraId="177C906A"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Chronology, notice, jurisdiction, licensing status, and administrative record-building</w:t>
            </w:r>
          </w:p>
        </w:tc>
      </w:tr>
      <w:tr w:rsidR="00756B19" w:rsidRPr="00566B6A" w14:paraId="05D5AA94" w14:textId="77777777">
        <w:trPr>
          <w:cantSplit/>
          <w:jc w:val="center"/>
        </w:trPr>
        <w:tc>
          <w:tcPr>
            <w:tcW w:w="6048" w:type="dxa"/>
            <w:tcMar>
              <w:top w:w="50" w:type="dxa"/>
              <w:left w:w="55" w:type="dxa"/>
              <w:bottom w:w="50" w:type="dxa"/>
              <w:right w:w="55" w:type="dxa"/>
            </w:tcMar>
          </w:tcPr>
          <w:p w14:paraId="0BA4512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Identity-theft affidavit + police/FTC report</w:t>
            </w:r>
          </w:p>
        </w:tc>
        <w:tc>
          <w:tcPr>
            <w:tcW w:w="8352" w:type="dxa"/>
            <w:tcMar>
              <w:top w:w="50" w:type="dxa"/>
              <w:left w:w="55" w:type="dxa"/>
              <w:bottom w:w="50" w:type="dxa"/>
              <w:right w:w="55" w:type="dxa"/>
            </w:tcMar>
          </w:tcPr>
          <w:p w14:paraId="39C997E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Blocking, fraud-alert, and identity-restoration procedures</w:t>
            </w:r>
          </w:p>
        </w:tc>
      </w:tr>
      <w:tr w:rsidR="00756B19" w:rsidRPr="00566B6A" w14:paraId="0344971C" w14:textId="77777777">
        <w:trPr>
          <w:cantSplit/>
          <w:jc w:val="center"/>
        </w:trPr>
        <w:tc>
          <w:tcPr>
            <w:tcW w:w="6048" w:type="dxa"/>
            <w:shd w:val="clear" w:color="auto" w:fill="F7FAFC"/>
            <w:tcMar>
              <w:top w:w="50" w:type="dxa"/>
              <w:left w:w="55" w:type="dxa"/>
              <w:bottom w:w="50" w:type="dxa"/>
              <w:right w:w="55" w:type="dxa"/>
            </w:tcMar>
          </w:tcPr>
          <w:p w14:paraId="70FD9693"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Ledger / date-of-first-delinquency documentation gaps</w:t>
            </w:r>
          </w:p>
        </w:tc>
        <w:tc>
          <w:tcPr>
            <w:tcW w:w="8352" w:type="dxa"/>
            <w:shd w:val="clear" w:color="auto" w:fill="F7FAFC"/>
            <w:tcMar>
              <w:top w:w="50" w:type="dxa"/>
              <w:left w:w="55" w:type="dxa"/>
              <w:bottom w:w="50" w:type="dxa"/>
              <w:right w:w="55" w:type="dxa"/>
            </w:tcMar>
          </w:tcPr>
          <w:p w14:paraId="4B86890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Accuracy and completeness questions</w:t>
            </w:r>
          </w:p>
        </w:tc>
      </w:tr>
      <w:tr w:rsidR="00756B19" w:rsidRPr="00566B6A" w14:paraId="25FBD96C" w14:textId="77777777">
        <w:trPr>
          <w:cantSplit/>
          <w:jc w:val="center"/>
        </w:trPr>
        <w:tc>
          <w:tcPr>
            <w:tcW w:w="6048" w:type="dxa"/>
            <w:tcMar>
              <w:top w:w="50" w:type="dxa"/>
              <w:left w:w="55" w:type="dxa"/>
              <w:bottom w:w="50" w:type="dxa"/>
              <w:right w:w="55" w:type="dxa"/>
            </w:tcMar>
          </w:tcPr>
          <w:p w14:paraId="7965C96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MCPA loss, exemption, and six-year limitations record</w:t>
            </w:r>
          </w:p>
        </w:tc>
        <w:tc>
          <w:tcPr>
            <w:tcW w:w="8352" w:type="dxa"/>
            <w:tcMar>
              <w:top w:w="50" w:type="dxa"/>
              <w:left w:w="55" w:type="dxa"/>
              <w:bottom w:w="50" w:type="dxa"/>
              <w:right w:w="55" w:type="dxa"/>
            </w:tcMar>
          </w:tcPr>
          <w:p w14:paraId="50ECC2D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Prohibited practice, consumer loss, causation, applicable exemption, and timing</w:t>
            </w:r>
          </w:p>
        </w:tc>
      </w:tr>
    </w:tbl>
    <w:p w14:paraId="49D0CEDD" w14:textId="77777777" w:rsidR="00756B19" w:rsidRPr="00566B6A" w:rsidRDefault="00756B19">
      <w:pPr>
        <w:spacing w:after="20"/>
        <w:rPr>
          <w:rFonts w:ascii="Courier New" w:hAnsi="Courier New" w:cs="Courier New"/>
          <w:sz w:val="22"/>
        </w:rPr>
      </w:pPr>
    </w:p>
    <w:p w14:paraId="6A9CCAD3" w14:textId="77777777" w:rsidR="00756B19" w:rsidRPr="00566B6A" w:rsidRDefault="00F247EE">
      <w:pPr>
        <w:pStyle w:val="Heading1"/>
        <w:spacing w:before="160" w:after="80"/>
        <w:rPr>
          <w:rFonts w:ascii="Courier New" w:hAnsi="Courier New" w:cs="Courier New"/>
          <w:color w:val="auto"/>
          <w:sz w:val="22"/>
          <w:szCs w:val="22"/>
        </w:rPr>
      </w:pPr>
      <w:r w:rsidRPr="00566B6A">
        <w:rPr>
          <w:rFonts w:ascii="Courier New" w:eastAsia="Arial" w:hAnsi="Courier New" w:cs="Courier New"/>
          <w:color w:val="auto"/>
          <w:sz w:val="22"/>
          <w:szCs w:val="22"/>
        </w:rPr>
        <w:t>PART E — PROCEDURAL ENFORCEMENT TOOLS (NON-ACCUSATORY)</w:t>
      </w:r>
    </w:p>
    <w:p w14:paraId="1C1DF8FD"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Method-of-verification / verification-description request</w:t>
      </w:r>
    </w:p>
    <w:p w14:paraId="44E5D0CF"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Permissible-purpose request concerning inquiries and file access</w:t>
      </w:r>
    </w:p>
    <w:p w14:paraId="3F88794E"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Ledger, balance-validation, and date-of-first-delinquency support request</w:t>
      </w:r>
    </w:p>
    <w:p w14:paraId="71A27296"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Liability-classification review: personal obligor, authorized user, guarantor, or business signer</w:t>
      </w:r>
    </w:p>
    <w:p w14:paraId="0012C8C0"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Identity-integrity review: addresses, aliases, mixed-file indicators, and identity-theft markers</w:t>
      </w:r>
    </w:p>
    <w:p w14:paraId="6BAC22B9"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lastRenderedPageBreak/>
        <w:t>Michigan MCPA claim-preservation review when a prohibited practice, consumer loss, causation, exemption analysis, and the six-year limitations period are documented</w:t>
      </w:r>
    </w:p>
    <w:p w14:paraId="45BCFD28"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Collection-agency license and regulator-jurisdiction review</w:t>
      </w:r>
    </w:p>
    <w:p w14:paraId="7E48C902"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Findings-rejection protocol when an item is marked “verified” without a disclosed methodology</w:t>
      </w:r>
    </w:p>
    <w:p w14:paraId="49545DFE" w14:textId="77777777" w:rsidR="00756B19" w:rsidRPr="00566B6A" w:rsidRDefault="00F247EE">
      <w:pPr>
        <w:spacing w:after="60"/>
        <w:rPr>
          <w:rFonts w:ascii="Courier New" w:hAnsi="Courier New" w:cs="Courier New"/>
          <w:sz w:val="22"/>
        </w:rPr>
      </w:pPr>
      <w:r w:rsidRPr="00566B6A">
        <w:rPr>
          <w:rFonts w:ascii="Courier New" w:hAnsi="Courier New" w:cs="Courier New"/>
          <w:b/>
          <w:sz w:val="22"/>
        </w:rPr>
        <w:t>Emphasize objective evidence.</w:t>
      </w:r>
      <w:r w:rsidRPr="00566B6A">
        <w:rPr>
          <w:rFonts w:ascii="Courier New" w:hAnsi="Courier New" w:cs="Courier New"/>
          <w:sz w:val="22"/>
        </w:rPr>
        <w:t xml:space="preserve"> Avoid accusatory language, unsupported liability conclusions, and assumptions of wrongdoing.</w:t>
      </w:r>
    </w:p>
    <w:p w14:paraId="44A6B450" w14:textId="77777777" w:rsidR="00756B19" w:rsidRPr="00566B6A" w:rsidRDefault="00F247EE">
      <w:pPr>
        <w:pStyle w:val="Heading1"/>
        <w:spacing w:before="160" w:after="80"/>
        <w:rPr>
          <w:rFonts w:ascii="Courier New" w:hAnsi="Courier New" w:cs="Courier New"/>
          <w:color w:val="auto"/>
          <w:sz w:val="22"/>
          <w:szCs w:val="22"/>
        </w:rPr>
      </w:pPr>
      <w:r w:rsidRPr="00566B6A">
        <w:rPr>
          <w:rFonts w:ascii="Courier New" w:eastAsia="Arial" w:hAnsi="Courier New" w:cs="Courier New"/>
          <w:color w:val="auto"/>
          <w:sz w:val="22"/>
          <w:szCs w:val="22"/>
        </w:rPr>
        <w:t>PART F — STATE-SPECIFIC MODULE (AUTO-INJECT, REQUIRED)</w:t>
      </w:r>
    </w:p>
    <w:p w14:paraId="4A602F23" w14:textId="77777777" w:rsidR="00756B19" w:rsidRPr="00566B6A" w:rsidRDefault="00F247EE">
      <w:pPr>
        <w:spacing w:after="60"/>
        <w:rPr>
          <w:rFonts w:ascii="Courier New" w:hAnsi="Courier New" w:cs="Courier New"/>
          <w:sz w:val="22"/>
        </w:rPr>
      </w:pPr>
      <w:r w:rsidRPr="00566B6A">
        <w:rPr>
          <w:rFonts w:ascii="Courier New" w:hAnsi="Courier New" w:cs="Courier New"/>
          <w:b/>
          <w:sz w:val="22"/>
        </w:rPr>
        <w:t>Jurisdiction: Michigan (MI)</w:t>
      </w:r>
    </w:p>
    <w:p w14:paraId="66FD35E4"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Statutes / Acts</w:t>
      </w:r>
    </w:p>
    <w:p w14:paraId="1B09666A"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Michigan Consumer Protection Act (MCPA) | MCL 445.901 through 445.922 | Remedies: actual damages or $250, whichever is greater; reasonable attorney’s fees; injunctive or declaratory relief; Attorney General investigation, restitution, injunctions, and civil penalties. | Authority: Michigan Attorney General / courts.</w:t>
      </w:r>
    </w:p>
    <w:p w14:paraId="52AAAA47"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Regulation of Collection Practices Act | MCL 445.251 through 445.258 | Remedies: damages or equitable relief, statutory minimum recovery where applicable, reasonable attorney’s fees, injunctions, cease-and-desist procedures, civil fines, and state enforcement. | Authority: Michigan Attorney General / courts.</w:t>
      </w:r>
    </w:p>
    <w:p w14:paraId="7853415A"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Michigan Identity Theft Protection and Security Freeze Laws | MCL 445.61 through 445.79d; MCL 445.2511 through 445.2542 | Remedies: identity-theft enforcement, breach-notice procedures, security freezes, administrative enforcement, and civil remedies where authorized. | Authority: Michigan Attorney General / courts / consumer reporting agencies.</w:t>
      </w:r>
    </w:p>
    <w:p w14:paraId="2CFF188D"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Michigan Security-Breach Notice Law | MCL 445.72, within the Identity Theft Protection Act | Remedies: required investigation and notice, Attorney General enforcement, civil fines, and other relief authorized by statute. | Authority: Michigan Attorney General.</w:t>
      </w:r>
    </w:p>
    <w:p w14:paraId="515DA0A1"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Michigan Identity-Theft Prohibition | MCL 445.65 | Remedies: criminal penalties, restitution-related relief, and identity-restoration records where statutory requirements are met. | Authority: law enforcement / courts.</w:t>
      </w:r>
    </w:p>
    <w:p w14:paraId="0FE81E4D"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Regulations</w:t>
      </w:r>
    </w:p>
    <w:p w14:paraId="56DF3355"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Michigan collection-agency and consumer-protection rules — consult current Michigan Administrative Code provisions governing licensing, conduct, records, complaints, examinations, and administrative enforcement. Verify the exact rule citation before filing or relying on a rule.</w:t>
      </w:r>
    </w:p>
    <w:p w14:paraId="4BC12908"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lastRenderedPageBreak/>
        <w:t>Policies / Guidance</w:t>
      </w:r>
    </w:p>
    <w:p w14:paraId="4C4FF9FD"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Michigan Attorney General — Consumer Protection Team: consumer complaint intake, MCPA enforcement, identity-theft guidance, and breach-related enforcement.</w:t>
      </w:r>
    </w:p>
    <w:p w14:paraId="33362FD5"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Michigan Department of Licensing and Regulatory Affairs: collection-agency complaint procedures, licensing, and regulated-industry oversight.</w:t>
      </w:r>
    </w:p>
    <w:p w14:paraId="40D5DED0"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Michigan law enforcement and courts: identity-theft reporting, prosecution, restitution, and record-building pathways as applicable.</w:t>
      </w:r>
    </w:p>
    <w:p w14:paraId="67D1A2A2"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Ordinances</w:t>
      </w:r>
    </w:p>
    <w:p w14:paraId="70590F38" w14:textId="77777777" w:rsidR="00756B19" w:rsidRDefault="00F247EE">
      <w:pPr>
        <w:spacing w:after="60"/>
        <w:rPr>
          <w:rFonts w:ascii="Courier New" w:hAnsi="Courier New" w:cs="Courier New"/>
          <w:sz w:val="22"/>
        </w:rPr>
      </w:pPr>
      <w:r w:rsidRPr="00566B6A">
        <w:rPr>
          <w:rFonts w:ascii="Courier New" w:hAnsi="Courier New" w:cs="Courier New"/>
          <w:sz w:val="22"/>
        </w:rPr>
        <w:t>Local ordinances are not typically the controlling authority for credit-reporting disputes; none are identified as directly applicable in Michigan without municipal verification.</w:t>
      </w:r>
    </w:p>
    <w:p w14:paraId="67D233BA" w14:textId="77777777" w:rsidR="00964317" w:rsidRPr="00566B6A" w:rsidRDefault="00964317">
      <w:pPr>
        <w:spacing w:after="60"/>
        <w:rPr>
          <w:rFonts w:ascii="Courier New" w:hAnsi="Courier New" w:cs="Courier New"/>
          <w:sz w:val="22"/>
        </w:rPr>
      </w:pPr>
    </w:p>
    <w:p w14:paraId="23A9C68A"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Case Law (Curated)</w:t>
      </w:r>
    </w:p>
    <w:tbl>
      <w:tblPr>
        <w:tblStyle w:val="TableGrid"/>
        <w:tblW w:w="0" w:type="auto"/>
        <w:jc w:val="center"/>
        <w:tblLayout w:type="fixed"/>
        <w:tblLook w:val="04A0" w:firstRow="1" w:lastRow="0" w:firstColumn="1" w:lastColumn="0" w:noHBand="0" w:noVBand="1"/>
      </w:tblPr>
      <w:tblGrid>
        <w:gridCol w:w="2232"/>
        <w:gridCol w:w="1152"/>
        <w:gridCol w:w="748"/>
        <w:gridCol w:w="2088"/>
        <w:gridCol w:w="4536"/>
        <w:gridCol w:w="3643"/>
      </w:tblGrid>
      <w:tr w:rsidR="00756B19" w:rsidRPr="00566B6A" w14:paraId="56C90A9F" w14:textId="77777777">
        <w:trPr>
          <w:cantSplit/>
          <w:tblHeader/>
          <w:jc w:val="center"/>
        </w:trPr>
        <w:tc>
          <w:tcPr>
            <w:tcW w:w="2232" w:type="dxa"/>
            <w:shd w:val="clear" w:color="auto" w:fill="D9EAF7"/>
            <w:tcMar>
              <w:top w:w="55" w:type="dxa"/>
              <w:left w:w="55" w:type="dxa"/>
              <w:bottom w:w="55" w:type="dxa"/>
              <w:right w:w="55" w:type="dxa"/>
            </w:tcMar>
            <w:vAlign w:val="center"/>
          </w:tcPr>
          <w:p w14:paraId="433264E3"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Case Name</w:t>
            </w:r>
          </w:p>
        </w:tc>
        <w:tc>
          <w:tcPr>
            <w:tcW w:w="1152" w:type="dxa"/>
            <w:shd w:val="clear" w:color="auto" w:fill="D9EAF7"/>
            <w:tcMar>
              <w:top w:w="55" w:type="dxa"/>
              <w:left w:w="55" w:type="dxa"/>
              <w:bottom w:w="55" w:type="dxa"/>
              <w:right w:w="55" w:type="dxa"/>
            </w:tcMar>
            <w:vAlign w:val="center"/>
          </w:tcPr>
          <w:p w14:paraId="7F55409D"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Court</w:t>
            </w:r>
          </w:p>
        </w:tc>
        <w:tc>
          <w:tcPr>
            <w:tcW w:w="748" w:type="dxa"/>
            <w:shd w:val="clear" w:color="auto" w:fill="D9EAF7"/>
            <w:tcMar>
              <w:top w:w="55" w:type="dxa"/>
              <w:left w:w="55" w:type="dxa"/>
              <w:bottom w:w="55" w:type="dxa"/>
              <w:right w:w="55" w:type="dxa"/>
            </w:tcMar>
            <w:vAlign w:val="center"/>
          </w:tcPr>
          <w:p w14:paraId="049CB34F"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Year</w:t>
            </w:r>
          </w:p>
        </w:tc>
        <w:tc>
          <w:tcPr>
            <w:tcW w:w="2088" w:type="dxa"/>
            <w:shd w:val="clear" w:color="auto" w:fill="D9EAF7"/>
            <w:tcMar>
              <w:top w:w="55" w:type="dxa"/>
              <w:left w:w="55" w:type="dxa"/>
              <w:bottom w:w="55" w:type="dxa"/>
              <w:right w:w="55" w:type="dxa"/>
            </w:tcMar>
            <w:vAlign w:val="center"/>
          </w:tcPr>
          <w:p w14:paraId="0A97A350"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Citation</w:t>
            </w:r>
          </w:p>
        </w:tc>
        <w:tc>
          <w:tcPr>
            <w:tcW w:w="4536" w:type="dxa"/>
            <w:shd w:val="clear" w:color="auto" w:fill="D9EAF7"/>
            <w:tcMar>
              <w:top w:w="55" w:type="dxa"/>
              <w:left w:w="55" w:type="dxa"/>
              <w:bottom w:w="55" w:type="dxa"/>
              <w:right w:w="55" w:type="dxa"/>
            </w:tcMar>
            <w:vAlign w:val="center"/>
          </w:tcPr>
          <w:p w14:paraId="7660DDB8"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Holding Summary</w:t>
            </w:r>
          </w:p>
        </w:tc>
        <w:tc>
          <w:tcPr>
            <w:tcW w:w="3643" w:type="dxa"/>
            <w:shd w:val="clear" w:color="auto" w:fill="D9EAF7"/>
            <w:tcMar>
              <w:top w:w="55" w:type="dxa"/>
              <w:left w:w="55" w:type="dxa"/>
              <w:bottom w:w="55" w:type="dxa"/>
              <w:right w:w="55" w:type="dxa"/>
            </w:tcMar>
            <w:vAlign w:val="center"/>
          </w:tcPr>
          <w:p w14:paraId="7D26DBBE"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Practical Use</w:t>
            </w:r>
          </w:p>
        </w:tc>
      </w:tr>
      <w:tr w:rsidR="00756B19" w:rsidRPr="00566B6A" w14:paraId="44D686B0" w14:textId="77777777">
        <w:trPr>
          <w:cantSplit/>
          <w:jc w:val="center"/>
        </w:trPr>
        <w:tc>
          <w:tcPr>
            <w:tcW w:w="2232" w:type="dxa"/>
            <w:tcMar>
              <w:top w:w="50" w:type="dxa"/>
              <w:left w:w="55" w:type="dxa"/>
              <w:bottom w:w="50" w:type="dxa"/>
              <w:right w:w="55" w:type="dxa"/>
            </w:tcMar>
          </w:tcPr>
          <w:p w14:paraId="79A966A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Zine v. Chrysler Corp.</w:t>
            </w:r>
          </w:p>
        </w:tc>
        <w:tc>
          <w:tcPr>
            <w:tcW w:w="1152" w:type="dxa"/>
            <w:tcMar>
              <w:top w:w="50" w:type="dxa"/>
              <w:left w:w="55" w:type="dxa"/>
              <w:bottom w:w="50" w:type="dxa"/>
              <w:right w:w="55" w:type="dxa"/>
            </w:tcMar>
          </w:tcPr>
          <w:p w14:paraId="72D4F0C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Mich. Ct. App.</w:t>
            </w:r>
          </w:p>
        </w:tc>
        <w:tc>
          <w:tcPr>
            <w:tcW w:w="748" w:type="dxa"/>
            <w:tcMar>
              <w:top w:w="50" w:type="dxa"/>
              <w:left w:w="55" w:type="dxa"/>
              <w:bottom w:w="50" w:type="dxa"/>
              <w:right w:w="55" w:type="dxa"/>
            </w:tcMar>
          </w:tcPr>
          <w:p w14:paraId="6E262542"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1999</w:t>
            </w:r>
          </w:p>
        </w:tc>
        <w:tc>
          <w:tcPr>
            <w:tcW w:w="2088" w:type="dxa"/>
            <w:tcMar>
              <w:top w:w="50" w:type="dxa"/>
              <w:left w:w="55" w:type="dxa"/>
              <w:bottom w:w="50" w:type="dxa"/>
              <w:right w:w="55" w:type="dxa"/>
            </w:tcMar>
          </w:tcPr>
          <w:p w14:paraId="487057E0"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236 Mich. App. 261, 600 N.W.2d 384</w:t>
            </w:r>
          </w:p>
        </w:tc>
        <w:tc>
          <w:tcPr>
            <w:tcW w:w="4536" w:type="dxa"/>
            <w:tcMar>
              <w:top w:w="50" w:type="dxa"/>
              <w:left w:w="55" w:type="dxa"/>
              <w:bottom w:w="50" w:type="dxa"/>
              <w:right w:w="55" w:type="dxa"/>
            </w:tcMar>
          </w:tcPr>
          <w:p w14:paraId="18E812CE"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The MCPA does not create a general duty to disclose, but information voluntarily supplied may not be misleading, confusing, or deceptive.</w:t>
            </w:r>
          </w:p>
        </w:tc>
        <w:tc>
          <w:tcPr>
            <w:tcW w:w="3643" w:type="dxa"/>
            <w:tcMar>
              <w:top w:w="50" w:type="dxa"/>
              <w:left w:w="55" w:type="dxa"/>
              <w:bottom w:w="50" w:type="dxa"/>
              <w:right w:w="55" w:type="dxa"/>
            </w:tcMar>
          </w:tcPr>
          <w:p w14:paraId="1A2627EE"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Preserve the exact statement or omission, its context, the consumer decision affected, and resulting loss.</w:t>
            </w:r>
          </w:p>
        </w:tc>
      </w:tr>
      <w:tr w:rsidR="00756B19" w:rsidRPr="00566B6A" w14:paraId="5698ECA4" w14:textId="77777777">
        <w:trPr>
          <w:cantSplit/>
          <w:jc w:val="center"/>
        </w:trPr>
        <w:tc>
          <w:tcPr>
            <w:tcW w:w="2232" w:type="dxa"/>
            <w:shd w:val="clear" w:color="auto" w:fill="F7FAFC"/>
            <w:tcMar>
              <w:top w:w="50" w:type="dxa"/>
              <w:left w:w="55" w:type="dxa"/>
              <w:bottom w:w="50" w:type="dxa"/>
              <w:right w:w="55" w:type="dxa"/>
            </w:tcMar>
          </w:tcPr>
          <w:p w14:paraId="74F9F4B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Liss v. Lewiston-Richards, Inc.</w:t>
            </w:r>
          </w:p>
        </w:tc>
        <w:tc>
          <w:tcPr>
            <w:tcW w:w="1152" w:type="dxa"/>
            <w:shd w:val="clear" w:color="auto" w:fill="F7FAFC"/>
            <w:tcMar>
              <w:top w:w="50" w:type="dxa"/>
              <w:left w:w="55" w:type="dxa"/>
              <w:bottom w:w="50" w:type="dxa"/>
              <w:right w:w="55" w:type="dxa"/>
            </w:tcMar>
          </w:tcPr>
          <w:p w14:paraId="342ED89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Mich. Sup. Ct.</w:t>
            </w:r>
          </w:p>
        </w:tc>
        <w:tc>
          <w:tcPr>
            <w:tcW w:w="748" w:type="dxa"/>
            <w:shd w:val="clear" w:color="auto" w:fill="F7FAFC"/>
            <w:tcMar>
              <w:top w:w="50" w:type="dxa"/>
              <w:left w:w="55" w:type="dxa"/>
              <w:bottom w:w="50" w:type="dxa"/>
              <w:right w:w="55" w:type="dxa"/>
            </w:tcMar>
          </w:tcPr>
          <w:p w14:paraId="0438024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2007</w:t>
            </w:r>
          </w:p>
        </w:tc>
        <w:tc>
          <w:tcPr>
            <w:tcW w:w="2088" w:type="dxa"/>
            <w:shd w:val="clear" w:color="auto" w:fill="F7FAFC"/>
            <w:tcMar>
              <w:top w:w="50" w:type="dxa"/>
              <w:left w:w="55" w:type="dxa"/>
              <w:bottom w:w="50" w:type="dxa"/>
              <w:right w:w="55" w:type="dxa"/>
            </w:tcMar>
          </w:tcPr>
          <w:p w14:paraId="73BC4D6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478 Mich. 203, 732 N.W.2d 514</w:t>
            </w:r>
          </w:p>
        </w:tc>
        <w:tc>
          <w:tcPr>
            <w:tcW w:w="4536" w:type="dxa"/>
            <w:shd w:val="clear" w:color="auto" w:fill="F7FAFC"/>
            <w:tcMar>
              <w:top w:w="50" w:type="dxa"/>
              <w:left w:w="55" w:type="dxa"/>
              <w:bottom w:w="50" w:type="dxa"/>
              <w:right w:w="55" w:type="dxa"/>
            </w:tcMar>
          </w:tcPr>
          <w:p w14:paraId="19F38DE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The regulated-conduct exemption is transaction-specific; licensing alone does not exempt a business unless the challenged conduct is specifically authorized.</w:t>
            </w:r>
          </w:p>
        </w:tc>
        <w:tc>
          <w:tcPr>
            <w:tcW w:w="3643" w:type="dxa"/>
            <w:shd w:val="clear" w:color="auto" w:fill="F7FAFC"/>
            <w:tcMar>
              <w:top w:w="50" w:type="dxa"/>
              <w:left w:w="55" w:type="dxa"/>
              <w:bottom w:w="50" w:type="dxa"/>
              <w:right w:w="55" w:type="dxa"/>
            </w:tcMar>
          </w:tcPr>
          <w:p w14:paraId="2F97335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Identify the precise transaction and determine whether the challenged conduct itself was specifically authorized.</w:t>
            </w:r>
          </w:p>
        </w:tc>
      </w:tr>
      <w:tr w:rsidR="00756B19" w:rsidRPr="00566B6A" w14:paraId="7EDC4511" w14:textId="77777777">
        <w:trPr>
          <w:cantSplit/>
          <w:jc w:val="center"/>
        </w:trPr>
        <w:tc>
          <w:tcPr>
            <w:tcW w:w="2232" w:type="dxa"/>
            <w:tcMar>
              <w:top w:w="50" w:type="dxa"/>
              <w:left w:w="55" w:type="dxa"/>
              <w:bottom w:w="50" w:type="dxa"/>
              <w:right w:w="55" w:type="dxa"/>
            </w:tcMar>
          </w:tcPr>
          <w:p w14:paraId="43BB223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Newmeyer v. Bank of America, N.A.</w:t>
            </w:r>
          </w:p>
        </w:tc>
        <w:tc>
          <w:tcPr>
            <w:tcW w:w="1152" w:type="dxa"/>
            <w:tcMar>
              <w:top w:w="50" w:type="dxa"/>
              <w:left w:w="55" w:type="dxa"/>
              <w:bottom w:w="50" w:type="dxa"/>
              <w:right w:w="55" w:type="dxa"/>
            </w:tcMar>
          </w:tcPr>
          <w:p w14:paraId="7D1CCBF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Mich. Ct. App. (unpub.)</w:t>
            </w:r>
          </w:p>
        </w:tc>
        <w:tc>
          <w:tcPr>
            <w:tcW w:w="748" w:type="dxa"/>
            <w:tcMar>
              <w:top w:w="50" w:type="dxa"/>
              <w:left w:w="55" w:type="dxa"/>
              <w:bottom w:w="50" w:type="dxa"/>
              <w:right w:w="55" w:type="dxa"/>
            </w:tcMar>
          </w:tcPr>
          <w:p w14:paraId="54C95B62"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2019</w:t>
            </w:r>
          </w:p>
        </w:tc>
        <w:tc>
          <w:tcPr>
            <w:tcW w:w="2088" w:type="dxa"/>
            <w:tcMar>
              <w:top w:w="50" w:type="dxa"/>
              <w:left w:w="55" w:type="dxa"/>
              <w:bottom w:w="50" w:type="dxa"/>
              <w:right w:w="55" w:type="dxa"/>
            </w:tcMar>
          </w:tcPr>
          <w:p w14:paraId="4BC38F4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No. 343206, 2019 WL 1780617</w:t>
            </w:r>
          </w:p>
        </w:tc>
        <w:tc>
          <w:tcPr>
            <w:tcW w:w="4536" w:type="dxa"/>
            <w:tcMar>
              <w:top w:w="50" w:type="dxa"/>
              <w:left w:w="55" w:type="dxa"/>
              <w:bottom w:w="50" w:type="dxa"/>
              <w:right w:w="55" w:type="dxa"/>
            </w:tcMar>
          </w:tcPr>
          <w:p w14:paraId="285D4881"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Applied MCL 445.251, 445.252, and 445.257 to alleged misleading and harassing collection conduct, regulated-person status, and claimed loss.</w:t>
            </w:r>
          </w:p>
        </w:tc>
        <w:tc>
          <w:tcPr>
            <w:tcW w:w="3643" w:type="dxa"/>
            <w:tcMar>
              <w:top w:w="50" w:type="dxa"/>
              <w:left w:w="55" w:type="dxa"/>
              <w:bottom w:w="50" w:type="dxa"/>
              <w:right w:w="55" w:type="dxa"/>
            </w:tcMar>
          </w:tcPr>
          <w:p w14:paraId="1DB333F0"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Preserve collector status, communications, payment history, dispute notices, claimed amounts, and proof of injury or loss.</w:t>
            </w:r>
          </w:p>
        </w:tc>
      </w:tr>
    </w:tbl>
    <w:p w14:paraId="635296EF" w14:textId="77777777" w:rsidR="00756B19" w:rsidRPr="00566B6A" w:rsidRDefault="00756B19">
      <w:pPr>
        <w:spacing w:after="20"/>
        <w:rPr>
          <w:rFonts w:ascii="Courier New" w:hAnsi="Courier New" w:cs="Courier New"/>
          <w:sz w:val="22"/>
        </w:rPr>
      </w:pPr>
    </w:p>
    <w:p w14:paraId="72752F1B" w14:textId="77777777" w:rsidR="00756B19" w:rsidRPr="00566B6A" w:rsidRDefault="00F247EE">
      <w:pPr>
        <w:pStyle w:val="Heading1"/>
        <w:spacing w:before="160" w:after="80"/>
        <w:rPr>
          <w:rFonts w:ascii="Courier New" w:hAnsi="Courier New" w:cs="Courier New"/>
          <w:color w:val="auto"/>
          <w:sz w:val="22"/>
          <w:szCs w:val="22"/>
        </w:rPr>
      </w:pPr>
      <w:r w:rsidRPr="00566B6A">
        <w:rPr>
          <w:rFonts w:ascii="Courier New" w:eastAsia="Arial" w:hAnsi="Courier New" w:cs="Courier New"/>
          <w:color w:val="auto"/>
          <w:sz w:val="22"/>
          <w:szCs w:val="22"/>
        </w:rPr>
        <w:t>PART G — ADAPTIVE AI AUTHORITY LIBRARY (CONSTANT UPDATES)</w:t>
      </w:r>
    </w:p>
    <w:p w14:paraId="149D0850" w14:textId="77777777" w:rsidR="00756B19" w:rsidRPr="00566B6A" w:rsidRDefault="00F247EE">
      <w:pPr>
        <w:spacing w:after="60"/>
        <w:rPr>
          <w:rFonts w:ascii="Courier New" w:hAnsi="Courier New" w:cs="Courier New"/>
          <w:sz w:val="22"/>
        </w:rPr>
      </w:pPr>
      <w:r w:rsidRPr="00566B6A">
        <w:rPr>
          <w:rFonts w:ascii="Courier New" w:hAnsi="Courier New" w:cs="Courier New"/>
          <w:b/>
          <w:sz w:val="22"/>
        </w:rPr>
        <w:t>Authority Library Version ID: TK-Authority-2026-07-MI</w:t>
      </w:r>
    </w:p>
    <w:p w14:paraId="67548EF2" w14:textId="77777777" w:rsidR="00756B19" w:rsidRPr="00566B6A" w:rsidRDefault="00F247EE">
      <w:pPr>
        <w:spacing w:after="60"/>
        <w:rPr>
          <w:rFonts w:ascii="Courier New" w:hAnsi="Courier New" w:cs="Courier New"/>
          <w:sz w:val="22"/>
        </w:rPr>
      </w:pPr>
      <w:r w:rsidRPr="00566B6A">
        <w:rPr>
          <w:rFonts w:ascii="Courier New" w:hAnsi="Courier New" w:cs="Courier New"/>
          <w:b/>
          <w:sz w:val="22"/>
        </w:rPr>
        <w:lastRenderedPageBreak/>
        <w:t>Last Updated Date: July 24, 2026</w:t>
      </w:r>
    </w:p>
    <w:p w14:paraId="31FCC85C" w14:textId="77777777" w:rsidR="00756B19" w:rsidRPr="00566B6A" w:rsidRDefault="00F247EE">
      <w:pPr>
        <w:spacing w:after="60"/>
        <w:rPr>
          <w:rFonts w:ascii="Courier New" w:hAnsi="Courier New" w:cs="Courier New"/>
          <w:sz w:val="22"/>
        </w:rPr>
      </w:pPr>
      <w:r w:rsidRPr="00566B6A">
        <w:rPr>
          <w:rFonts w:ascii="Courier New" w:hAnsi="Courier New" w:cs="Courier New"/>
          <w:b/>
          <w:sz w:val="22"/>
        </w:rPr>
        <w:t>Jurisdiction Filters Applied: Federal + MI</w:t>
      </w:r>
    </w:p>
    <w:p w14:paraId="499F4138" w14:textId="77777777" w:rsidR="00756B19" w:rsidRPr="00566B6A" w:rsidRDefault="00F247EE">
      <w:pPr>
        <w:spacing w:after="60"/>
        <w:rPr>
          <w:rFonts w:ascii="Courier New" w:hAnsi="Courier New" w:cs="Courier New"/>
          <w:sz w:val="22"/>
        </w:rPr>
      </w:pPr>
      <w:r w:rsidRPr="00566B6A">
        <w:rPr>
          <w:rFonts w:ascii="Courier New" w:hAnsi="Courier New" w:cs="Courier New"/>
          <w:sz w:val="22"/>
        </w:rPr>
        <w:t>Update Discipline: Citations must be validated against official sources before inclusion. Michigan statutory references in this version were checked against current Michigan Legislature publications. Federal FCRA authorities were checked against the Office of the Law Revision Counsel U.S. Code and current Regulation V materials available on July 24, 2026.</w:t>
      </w:r>
    </w:p>
    <w:p w14:paraId="7D95EC57"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Confidence Flags</w:t>
      </w:r>
    </w:p>
    <w:p w14:paraId="7B98AE21"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State-Specific Authority</w:t>
      </w:r>
    </w:p>
    <w:p w14:paraId="2B5D10D1"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Preemption-Sensitive Authority</w:t>
      </w:r>
    </w:p>
    <w:p w14:paraId="2C5AD9E6"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Subject to Legislative Updates</w:t>
      </w:r>
    </w:p>
    <w:p w14:paraId="34661A55"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Subject to New Judicial Decisions</w:t>
      </w:r>
    </w:p>
    <w:p w14:paraId="4C0CF72F"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Verification Required when a regulation, agency jurisdiction, local ordinance, or private remedy is not expressly confirmed</w:t>
      </w:r>
    </w:p>
    <w:p w14:paraId="2873AAC8" w14:textId="77777777" w:rsidR="00756B19" w:rsidRPr="00566B6A" w:rsidRDefault="00F247EE">
      <w:pPr>
        <w:spacing w:after="60"/>
        <w:rPr>
          <w:rFonts w:ascii="Courier New" w:hAnsi="Courier New" w:cs="Courier New"/>
          <w:sz w:val="22"/>
        </w:rPr>
      </w:pPr>
      <w:r w:rsidRPr="00566B6A">
        <w:rPr>
          <w:rFonts w:ascii="Courier New" w:hAnsi="Courier New" w:cs="Courier New"/>
          <w:sz w:val="22"/>
        </w:rPr>
        <w:t>This section was generated using a continuously updated authority library designed to identify relevant federal and Michigan consumer-protection authorities. Statutes, regulations, agency guidance, and judicial decisions may change over time. This section is educational and informational only and does not constitute legal advice or legal representation.</w:t>
      </w:r>
    </w:p>
    <w:p w14:paraId="786B72ED" w14:textId="77777777" w:rsidR="00756B19" w:rsidRPr="00566B6A" w:rsidRDefault="00F247EE">
      <w:pPr>
        <w:pStyle w:val="Heading1"/>
        <w:spacing w:before="160" w:after="80"/>
        <w:rPr>
          <w:rFonts w:ascii="Courier New" w:hAnsi="Courier New" w:cs="Courier New"/>
          <w:color w:val="auto"/>
          <w:sz w:val="22"/>
          <w:szCs w:val="22"/>
        </w:rPr>
      </w:pPr>
      <w:r w:rsidRPr="00566B6A">
        <w:rPr>
          <w:rFonts w:ascii="Courier New" w:eastAsia="Arial" w:hAnsi="Courier New" w:cs="Courier New"/>
          <w:color w:val="auto"/>
          <w:sz w:val="22"/>
          <w:szCs w:val="22"/>
        </w:rPr>
        <w:t>PART H — CITATION RULES (MANDATORY)</w:t>
      </w:r>
    </w:p>
    <w:p w14:paraId="4D24D7BF"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Statutes / Acts: official code citation by title, chapter, article, and section.</w:t>
      </w:r>
    </w:p>
    <w:p w14:paraId="197598B9"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Regulations: current Michigan administrative rule citation by department, bureau, part, rule, and section.</w:t>
      </w:r>
    </w:p>
    <w:p w14:paraId="4F70BEFB"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Policies / Guidance: agency name, document or webpage title, publication or access date when available, and official source.</w:t>
      </w:r>
    </w:p>
    <w:p w14:paraId="335B91DB"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Cases: court, year, neutral citation and reporter citation when available; otherwise docket, court, year, and official/public source.</w:t>
      </w:r>
    </w:p>
    <w:p w14:paraId="5AF73CE6"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No Citation = No Claim™: omit the statement or mark “Verification Required” and explain what must be verified.</w:t>
      </w:r>
    </w:p>
    <w:p w14:paraId="59E82230"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lastRenderedPageBreak/>
        <w:t>REQUIRED SECTION DISCLAIMER (END)</w:t>
      </w:r>
    </w:p>
    <w:p w14:paraId="39747516" w14:textId="77777777" w:rsidR="00756B19" w:rsidRDefault="00F247EE">
      <w:pPr>
        <w:keepLines/>
        <w:spacing w:before="40" w:after="0"/>
        <w:rPr>
          <w:rFonts w:ascii="Courier New" w:hAnsi="Courier New" w:cs="Courier New"/>
          <w:i/>
          <w:color w:val="464646"/>
          <w:sz w:val="22"/>
        </w:rPr>
      </w:pPr>
      <w:r w:rsidRPr="00566B6A">
        <w:rPr>
          <w:rFonts w:ascii="Courier New" w:hAnsi="Courier New" w:cs="Courier New"/>
          <w:i/>
          <w:sz w:val="22"/>
        </w:rPr>
        <w:t>Nothing contained within this section should be interpreted as legal advice, legal representation, or a guarantee of outcome. Consumers remain responsible for their own decisions and actions. Applicable laws, regulations, agency jurisdiction, and judicial interpretations may change over time. This section is provided solely for educational, informational</w:t>
      </w:r>
      <w:r w:rsidRPr="00566B6A">
        <w:rPr>
          <w:rFonts w:ascii="Courier New" w:hAnsi="Courier New" w:cs="Courier New"/>
          <w:i/>
          <w:color w:val="464646"/>
          <w:sz w:val="22"/>
        </w:rPr>
        <w:t>, and procedural self-help purposes.</w:t>
      </w:r>
    </w:p>
    <w:p w14:paraId="5A489BC8" w14:textId="77777777" w:rsidR="00BD7EED" w:rsidRDefault="00BD7EED">
      <w:pPr>
        <w:keepLines/>
        <w:spacing w:before="40" w:after="0"/>
        <w:rPr>
          <w:rFonts w:ascii="Courier New" w:hAnsi="Courier New" w:cs="Courier New"/>
          <w:i/>
          <w:color w:val="464646"/>
          <w:sz w:val="22"/>
        </w:rPr>
      </w:pPr>
    </w:p>
    <w:p w14:paraId="793F004D" w14:textId="77777777" w:rsidR="00BD7EED" w:rsidRDefault="00BD7EED">
      <w:pPr>
        <w:keepLines/>
        <w:spacing w:before="40" w:after="0"/>
        <w:rPr>
          <w:rFonts w:ascii="Courier New" w:hAnsi="Courier New" w:cs="Courier New"/>
          <w:i/>
          <w:color w:val="464646"/>
          <w:sz w:val="22"/>
        </w:rPr>
      </w:pPr>
    </w:p>
    <w:p w14:paraId="4EA59E70" w14:textId="77777777" w:rsidR="00BD7EED" w:rsidRDefault="00BD7EED">
      <w:pPr>
        <w:keepLines/>
        <w:spacing w:before="40" w:after="0"/>
        <w:rPr>
          <w:rFonts w:ascii="Courier New" w:hAnsi="Courier New" w:cs="Courier New"/>
          <w:i/>
          <w:color w:val="464646"/>
          <w:sz w:val="22"/>
        </w:rPr>
      </w:pPr>
    </w:p>
    <w:p w14:paraId="41B72AA8" w14:textId="77777777" w:rsidR="00BD7EED" w:rsidRDefault="00BD7EED">
      <w:pPr>
        <w:keepLines/>
        <w:spacing w:before="40" w:after="0"/>
        <w:rPr>
          <w:rFonts w:ascii="Courier New" w:hAnsi="Courier New" w:cs="Courier New"/>
          <w:i/>
          <w:color w:val="464646"/>
          <w:sz w:val="22"/>
        </w:rPr>
      </w:pPr>
    </w:p>
    <w:p w14:paraId="42B7C716" w14:textId="77777777" w:rsidR="00BD7EED" w:rsidRDefault="00BD7EED">
      <w:pPr>
        <w:keepLines/>
        <w:spacing w:before="40" w:after="0"/>
        <w:rPr>
          <w:rFonts w:ascii="Courier New" w:hAnsi="Courier New" w:cs="Courier New"/>
          <w:i/>
          <w:color w:val="464646"/>
          <w:sz w:val="22"/>
        </w:rPr>
      </w:pPr>
    </w:p>
    <w:p w14:paraId="5C3A8A05" w14:textId="77777777" w:rsidR="00BD7EED" w:rsidRDefault="00BD7EED">
      <w:pPr>
        <w:keepLines/>
        <w:spacing w:before="40" w:after="0"/>
        <w:rPr>
          <w:rFonts w:ascii="Courier New" w:hAnsi="Courier New" w:cs="Courier New"/>
          <w:i/>
          <w:color w:val="464646"/>
          <w:sz w:val="22"/>
        </w:rPr>
      </w:pPr>
    </w:p>
    <w:p w14:paraId="0BEFAA58" w14:textId="77777777" w:rsidR="00BD7EED" w:rsidRDefault="00BD7EED">
      <w:pPr>
        <w:keepLines/>
        <w:spacing w:before="40" w:after="0"/>
        <w:rPr>
          <w:rFonts w:ascii="Courier New" w:hAnsi="Courier New" w:cs="Courier New"/>
          <w:i/>
          <w:color w:val="464646"/>
          <w:sz w:val="22"/>
        </w:rPr>
      </w:pPr>
    </w:p>
    <w:p w14:paraId="72054B27" w14:textId="77777777" w:rsidR="00BD7EED" w:rsidRDefault="00BD7EED">
      <w:pPr>
        <w:keepLines/>
        <w:spacing w:before="40" w:after="0"/>
        <w:rPr>
          <w:rFonts w:ascii="Courier New" w:hAnsi="Courier New" w:cs="Courier New"/>
          <w:i/>
          <w:color w:val="464646"/>
          <w:sz w:val="22"/>
        </w:rPr>
      </w:pPr>
    </w:p>
    <w:p w14:paraId="1C34DB2E" w14:textId="77777777" w:rsidR="00BD7EED" w:rsidRDefault="00BD7EED">
      <w:pPr>
        <w:keepLines/>
        <w:spacing w:before="40" w:after="0"/>
        <w:rPr>
          <w:rFonts w:ascii="Courier New" w:hAnsi="Courier New" w:cs="Courier New"/>
          <w:i/>
          <w:color w:val="464646"/>
          <w:sz w:val="22"/>
        </w:rPr>
      </w:pPr>
    </w:p>
    <w:p w14:paraId="6D976413" w14:textId="77777777" w:rsidR="00BD7EED" w:rsidRDefault="00BD7EED">
      <w:pPr>
        <w:keepLines/>
        <w:spacing w:before="40" w:after="0"/>
        <w:rPr>
          <w:rFonts w:ascii="Courier New" w:hAnsi="Courier New" w:cs="Courier New"/>
          <w:i/>
          <w:color w:val="464646"/>
          <w:sz w:val="22"/>
        </w:rPr>
      </w:pPr>
    </w:p>
    <w:p w14:paraId="372A5196" w14:textId="77777777" w:rsidR="00BD7EED" w:rsidRDefault="00BD7EED">
      <w:pPr>
        <w:keepLines/>
        <w:spacing w:before="40" w:after="0"/>
        <w:rPr>
          <w:rFonts w:ascii="Courier New" w:hAnsi="Courier New" w:cs="Courier New"/>
          <w:i/>
          <w:color w:val="464646"/>
          <w:sz w:val="22"/>
        </w:rPr>
      </w:pPr>
    </w:p>
    <w:p w14:paraId="335C40D1" w14:textId="77777777" w:rsidR="00BD7EED" w:rsidRDefault="00BD7EED">
      <w:pPr>
        <w:keepLines/>
        <w:spacing w:before="40" w:after="0"/>
        <w:rPr>
          <w:rFonts w:ascii="Courier New" w:hAnsi="Courier New" w:cs="Courier New"/>
          <w:i/>
          <w:color w:val="464646"/>
          <w:sz w:val="22"/>
        </w:rPr>
      </w:pPr>
    </w:p>
    <w:p w14:paraId="6FD257A4" w14:textId="77777777" w:rsidR="00BD7EED" w:rsidRDefault="00BD7EED">
      <w:pPr>
        <w:keepLines/>
        <w:spacing w:before="40" w:after="0"/>
        <w:rPr>
          <w:rFonts w:ascii="Courier New" w:hAnsi="Courier New" w:cs="Courier New"/>
          <w:i/>
          <w:color w:val="464646"/>
          <w:sz w:val="22"/>
        </w:rPr>
      </w:pPr>
    </w:p>
    <w:p w14:paraId="6CD0DD27" w14:textId="77777777" w:rsidR="00BD7EED" w:rsidRPr="00566B6A" w:rsidRDefault="00BD7EED">
      <w:pPr>
        <w:keepLines/>
        <w:spacing w:before="40" w:after="0"/>
        <w:rPr>
          <w:rFonts w:ascii="Courier New" w:hAnsi="Courier New" w:cs="Courier New"/>
          <w:sz w:val="22"/>
        </w:rPr>
      </w:pPr>
    </w:p>
    <w:sectPr w:rsidR="00BD7EED" w:rsidRPr="00566B6A" w:rsidSect="00024A47">
      <w:headerReference w:type="default" r:id="rId8"/>
      <w:footerReference w:type="default" r:id="rId9"/>
      <w:pgSz w:w="15840" w:h="12240" w:orient="landscape"/>
      <w:pgMar w:top="1440" w:right="1440" w:bottom="1440" w:left="1440" w:header="288"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ECD40E" w14:textId="77777777" w:rsidR="004118F1" w:rsidRDefault="004118F1">
      <w:pPr>
        <w:spacing w:after="0" w:line="240" w:lineRule="auto"/>
      </w:pPr>
      <w:r>
        <w:separator/>
      </w:r>
    </w:p>
  </w:endnote>
  <w:endnote w:type="continuationSeparator" w:id="0">
    <w:p w14:paraId="47C993B2" w14:textId="77777777" w:rsidR="004118F1" w:rsidRDefault="004118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A132E7" w14:textId="77777777" w:rsidR="00756B19" w:rsidRDefault="00F247EE">
    <w:pPr>
      <w:pStyle w:val="Footer"/>
      <w:jc w:val="center"/>
    </w:pPr>
    <w:r>
      <w:rPr>
        <w:i/>
        <w:color w:val="5A5A5A"/>
        <w:sz w:val="14"/>
      </w:rPr>
      <w:t>Educational and procedural self-help material — not legal advice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CE9C44" w14:textId="77777777" w:rsidR="004118F1" w:rsidRDefault="004118F1">
      <w:pPr>
        <w:spacing w:after="0" w:line="240" w:lineRule="auto"/>
      </w:pPr>
      <w:r>
        <w:separator/>
      </w:r>
    </w:p>
  </w:footnote>
  <w:footnote w:type="continuationSeparator" w:id="0">
    <w:p w14:paraId="1FB4A2F3" w14:textId="77777777" w:rsidR="004118F1" w:rsidRDefault="004118F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440026" w14:textId="77777777" w:rsidR="00756B19" w:rsidRDefault="00F247EE">
    <w:pPr>
      <w:pStyle w:val="Header"/>
      <w:jc w:val="right"/>
    </w:pPr>
    <w:r>
      <w:rPr>
        <w:b/>
        <w:color w:val="505050"/>
        <w:sz w:val="15"/>
      </w:rPr>
      <w:t>GLADIC AI™ — SECTION 3A | MICHIGAN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94968295">
    <w:abstractNumId w:val="8"/>
  </w:num>
  <w:num w:numId="2" w16cid:durableId="587035469">
    <w:abstractNumId w:val="6"/>
  </w:num>
  <w:num w:numId="3" w16cid:durableId="1436708472">
    <w:abstractNumId w:val="5"/>
  </w:num>
  <w:num w:numId="4" w16cid:durableId="1789540790">
    <w:abstractNumId w:val="4"/>
  </w:num>
  <w:num w:numId="5" w16cid:durableId="1384210192">
    <w:abstractNumId w:val="7"/>
  </w:num>
  <w:num w:numId="6" w16cid:durableId="1391731214">
    <w:abstractNumId w:val="3"/>
  </w:num>
  <w:num w:numId="7" w16cid:durableId="1612858173">
    <w:abstractNumId w:val="2"/>
  </w:num>
  <w:num w:numId="8" w16cid:durableId="1642072394">
    <w:abstractNumId w:val="1"/>
  </w:num>
  <w:num w:numId="9" w16cid:durableId="14229936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4A47"/>
    <w:rsid w:val="00034616"/>
    <w:rsid w:val="00057F04"/>
    <w:rsid w:val="0006063C"/>
    <w:rsid w:val="000C26BB"/>
    <w:rsid w:val="0015074B"/>
    <w:rsid w:val="0029639D"/>
    <w:rsid w:val="00326F90"/>
    <w:rsid w:val="004118F1"/>
    <w:rsid w:val="00463F22"/>
    <w:rsid w:val="00566B6A"/>
    <w:rsid w:val="00655F05"/>
    <w:rsid w:val="006F27AD"/>
    <w:rsid w:val="00736F61"/>
    <w:rsid w:val="00756B19"/>
    <w:rsid w:val="00964317"/>
    <w:rsid w:val="00AA1D8D"/>
    <w:rsid w:val="00B47730"/>
    <w:rsid w:val="00BD7EED"/>
    <w:rsid w:val="00CB0664"/>
    <w:rsid w:val="00F247E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250A26"/>
  <w14:defaultImageDpi w14:val="300"/>
  <w15:docId w15:val="{5EEB66F3-E441-4F2E-A330-5A737E432C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40" w:line="252" w:lineRule="auto"/>
    </w:pPr>
    <w:rPr>
      <w:rFonts w:ascii="Arial" w:eastAsia="Arial" w:hAnsi="Arial"/>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15</Pages>
  <Words>4264</Words>
  <Characters>24310</Characters>
  <Application>Microsoft Office Word</Application>
  <DocSecurity>0</DocSecurity>
  <Lines>202</Lines>
  <Paragraphs>57</Paragraphs>
  <ScaleCrop>false</ScaleCrop>
  <HeadingPairs>
    <vt:vector size="2" baseType="variant">
      <vt:variant>
        <vt:lpstr>Title</vt:lpstr>
      </vt:variant>
      <vt:variant>
        <vt:i4>1</vt:i4>
      </vt:variant>
    </vt:vector>
  </HeadingPairs>
  <TitlesOfParts>
    <vt:vector size="1" baseType="lpstr">
      <vt:lpstr>Section 3A — Wyoming Laws and Federal FCRA Personal Information Corrections</vt:lpstr>
    </vt:vector>
  </TitlesOfParts>
  <Manager/>
  <Company/>
  <LinksUpToDate>false</LinksUpToDate>
  <CharactersWithSpaces>28517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Section 3A — Wyoming Laws and Federal FCRA Personal Information Corrections</dc:title>
  <dc:subject>Wyoming consumer protection, federal FCRA, inaccurate address, employment, and contact information</dc:subject>
  <dc:creator>GLADIC AI™</dc:creator>
  <cp:keywords>Wyoming, consumer protection, WCPA, FCRA, debt collection, security freeze, case law</cp:keywords>
  <dc:description>Educational and procedural self-help material.</dc:description>
  <cp:lastModifiedBy>Louis Lewis</cp:lastModifiedBy>
  <cp:revision>2</cp:revision>
  <dcterms:created xsi:type="dcterms:W3CDTF">2026-07-24T09:20:00Z</dcterms:created>
  <dcterms:modified xsi:type="dcterms:W3CDTF">2026-07-24T09:20:00Z</dcterms:modified>
  <cp:category/>
</cp:coreProperties>
</file>