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Pr>
          <w:rFonts w:ascii="Courier New" w:hAnsi="Courier New" w:cs="Courier New"/>
          <w:bCs/>
          <w:sz w:val="22"/>
        </w:rPr>
        <w:t>Controlling STATE: Nevada (NV)</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Name: Nevada Deceptive Trade Practices Act (NDTPA)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Citation: NRS 598.0903 through 598.0999</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Scope: Prohibits enumerated deceptive trade practices, including specified knowing false representations, misleading omissions, and other unlawful conduct in the sale, lease, or advertisement of goods and services.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Remedies: A qualifying consumer-fraud claimant may seek damages sustained, appropriate equitable relief, costs, and reasonable attorney’s fees under NRS 41.600. Public enforcement may include investigation, injunctions, restitution, administrative relief, and civil penalties as authorized by NRS 598.096 through 598.0999.</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Private right of action: A person who is a victim of consumer fraud may bring an action under NRS 41.600 based on a deceptive trade practice defined in NRS 598.0915 through 598.0925. NRS 11.190(2)(d) generally provides four years from discovery, or when due diligence should have revealed the facts constituting the deceptive trade practice.</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AG enforcement: Nevada Attorney General — Bureau of Consumer Protection; investigatory authority includes NRS 598.096.</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Applicability: Collection/tradeline derogatory activity present — review Nevada collection-agency licensing, prohibited-practice requirements,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Overview: NRS Chapter 649 regulates collection-agency licensing, supervision, records, and prohibited practices. NRS 649.370 deems a violation of the federal FDCPA to be a violation of Chapter 649.</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lastRenderedPageBreak/>
        <w:t>Citations: NRS 649.005 through 649.435; NRS 649.370; NRS 649.375;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Regulators: Nevada Financial Institutions Division; Nevada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Mini-FCRA status: Nevada has a state consumer-reporting framework in NRS 598C.010 through 598C.200 addressing disclosures, accuracy disputes, reinvestigation, adverse-action notices, administration, and consumer remedies. Federal FCRA procedures remain independently applicable.</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Security freeze: Nevada consumers may request placement, temporary release, or removal of a security freeze under NRS 598C.300 through 598C.390.</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Disclosures: Consumers may obtain Nevada file disclosures under NRS 598C.130 and federal file disclosures under the FCRA, and may use Nevada security-freeze procedures to restrict specified releases of consumer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Corrections: NRS 598C.160 requires a reporting agency notified of an accuracy dispute to notify institutional sources and complete a reinvestigation within the statutory period, unless the dispute is frivolous or irrelevant. Federal FCRA rights also apply, and Nevada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Fraud alerts: Initial and extended fraud alerts arise principally under federal law; Nevada supplements identity restoration through security freezes and the identity-theft program-card process under NRS 205.4651.</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Remedies: NRS 598C.190 and 598C.200 provide specified consumer remedies for willful or negligent noncompliance with Nevada’s consumer-reporting chapter, including actual damages and, where authorized, punitive damages, costs, and reasonable attorney’s fees.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Identity theft: NRS 205.463 criminalizes knowingly obtaining and using another person’s personal identifying information for specified harmful, impersonation, access, or other unlawful purposes, with penalties and restitution-related consequences as applicable.</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Identity-theft program card: A qualifying identity-theft victim may apply for an identity-theft program card under NRS 205.4651 after filing the required law-enforcement report, subject to the statute’s procedures and agency discretion.</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Breach notice: NRS 603A.220 requires a covered data collector to disclose a qualifying breach to affected Nevada residents in the most expedient time possible and without unreasonable delay, subject to statutory exceptions and law-enforcement needs.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Article range: Nevada’s security and breach-notification provisions are codified at NRS 603A.010 through 603A.290; consumer-reporting security-freeze provisions are codified at NRS 598C.300 through 598C.390.</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Privacy rights: Nevada also maintains sector-specific and internet-privacy provisions; this module focuses on the personal-information security and breach-notification duties in NRS 603A.010 through 603A.290.</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Nevada Attorney General — Bureau of Consumer Protection: Consumer complaint intake, deceptive-trade-practice investigation, and civil enforcement as authorized.</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Nevada Financial Institutions Division: Licensing, examination, complaint review, and disciplinary oversight for collection agencies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Pr>
          <w:rFonts w:ascii="Courier New" w:hAnsi="Courier New" w:cs="Courier New"/>
          <w:bCs/>
          <w:sz w:val="22"/>
        </w:rPr>
        <w:t>Nevada Consumer Affairs Unit / Commissioner of Consumer Affairs: Administration of NRS Chapter 598C, with Attorney General representation as provided by NRS 598C.180.</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Pr>
          <w:rFonts w:ascii="Courier New" w:hAnsi="Courier New" w:cs="Courier New"/>
          <w:bCs/>
          <w:sz w:val="22"/>
        </w:rPr>
        <w:t>Local ordinances are not typically the controlling authority for credit-reporting disputes; none are identified as directly applicable in Nevada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NRS 598.0903–598.0999; NRS 41.600</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NDTPA — enumerated deceptive trade practices and private consumer-fraud action</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Damages sustained, equitable relief, costs and attorney’s fees for qualifying private claims; public injunction, restitution and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Transaction proof; representation or omission; knowledge where required; causation; damages; filing date</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NRS 649.005–649.435</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Collection-agency licensing, supervision, records and prohibited practices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Commissioner licensing, examination and discipline; injunction and statutory consequences; federal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Collector identity; license status; letters; call logs; recordings; payment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lastRenderedPageBreak/>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NRS 598C.010–598C.200; 598C.300–598C.390</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Consumer reporting, disclosures, disputes, reinvestigation and security freezes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Correction and reinvestigation; actual damages; punitive damages for willful violations where allowed; fees and costs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Report page; dispute proof; reinvestigation result; freeze confirmation; access and release history</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NRS 603A.010–603A.290</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Information security, breach notification and statutory enforcement</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Deceptive-trade-practice treatment; authorized civil action; restitution; injunctive relief</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Breach notice; dates; data elements; investigation, notification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NRS 205.463; NRS 205.4651</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Identity theft and identity-theft program card</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Criminal penalties and restitution where ordered; identity-restoration support</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Police/FTC report; identity affidavit; creditor and bureau notices; program-card record</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Nevada AG — Bureau of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Consumer complaint intake and NDTPA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Investigation, voluntary compliance, injunction, restitution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Nevada Financial Institutions Division / Consumer Affairs Unit</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Licensed collection agencies and state consumer-reporting administration</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Jurisdictional review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Secondary to Nevada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Personal identifiers and employer information in the consumer file; disclosure, accuracy, </w:t>
            </w:r>
            <w:r w:rsidRPr="00566B6A">
              <w:rPr>
                <w:rFonts w:ascii="Courier New" w:hAnsi="Courier New" w:cs="Courier New"/>
                <w:sz w:val="22"/>
              </w:rPr>
              <w:lastRenderedPageBreak/>
              <w:t>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Free reasonable reinvestigation; revised report; prompt deletion or modification of inaccurate, incomplete, </w:t>
            </w:r>
            <w:r w:rsidRPr="00566B6A">
              <w:rPr>
                <w:rFonts w:ascii="Courier New" w:hAnsi="Courier New" w:cs="Courier New"/>
                <w:sz w:val="22"/>
              </w:rPr>
              <w:lastRenderedPageBreak/>
              <w:t>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Credit-report page; proof of identity/current address; employer records; source request; dispute </w:t>
            </w:r>
            <w:r w:rsidRPr="00566B6A">
              <w:rPr>
                <w:rFonts w:ascii="Courier New" w:hAnsi="Courier New" w:cs="Courier New"/>
                <w:sz w:val="22"/>
              </w:rPr>
              <w:lastRenderedPageBreak/>
              <w:t>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Pr>
          <w:rFonts w:ascii="Courier New" w:hAnsi="Courier New" w:cs="Courier New"/>
          <w:b/>
          <w:sz w:val="22"/>
        </w:rPr>
        <w:t>Jurisdiction: Nevada (NV)</w:t>
      </w:r>
    </w:p>
    <w:p w14:paraId="202B8774" w14:textId="77777777" w:rsidR="00756B19" w:rsidRPr="00566B6A" w:rsidRDefault="00F247EE">
      <w:pPr>
        <w:spacing w:after="60"/>
        <w:rPr>
          <w:rFonts w:ascii="Courier New" w:hAnsi="Courier New" w:cs="Courier New"/>
          <w:sz w:val="22"/>
        </w:rPr>
      </w:pPr>
      <w:r>
        <w:rPr>
          <w:rFonts w:ascii="Courier New" w:hAnsi="Courier New" w:cs="Courier New"/>
          <w:i/>
          <w:sz w:val="22"/>
        </w:rPr>
        <w:t>Educational module — no liability conclusions. No invented citations. The debt-collection decision below interprets the relationship between NRS Chapters 649 and 107 and should not be generalized beyond its statutory and nonjudicial-foreclosure context.</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Betsinger v. D.R. Horton,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2010</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126 Nev. 162, 232 P.3d 433</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a Nevada deceptive-trade-practices claim under NRS Chapter 598 is proven by a preponderance of the evidence; also limited unsupported emotional-distress damages.</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transaction records and proof of each element and actual loss; distinguish compensable economic harm from unsupported emotional-distress demands.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lastRenderedPageBreak/>
              <w:t>Poole v. Nevada Auto Dealership Investments, LLC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 Ct. App.</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2019</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135 Nev. Adv. Op. 39, 449 P.3d 479</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Defined “knowingly” and “material fact” under the NDTPA and reversed summary judgment where evidence created genuine factual disputes concerning nondisclosure and misrepresentation.</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Identify the exact omitted or false fact, show why it mattered to the transaction, and preserve evidence of the seller’s knowledge and the consumer’s decision.</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Benko v. Quality Loan Service Corp.</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2019</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135 Nev. Adv. Op. 64, 454 P.3d 1263</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deed-of-trust trustees acting within Nevada’s nonjudicial-foreclosure scheme were not required to obtain Chapter 649 collection-agency licenses, although foreclosure can otherwise fit Chapter 649’s debt-collection definition.</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Classify the actor and governing statutory scheme before alleging unlicensed collection; preserve notices, role documents, licenses, and conduct outside any statutory exemption.</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Betsinger v. D.R. Horton,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2010</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126 Nev. 162, 232 P.3d 433</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a Nevada deceptive-trade-practices claim under NRS Chapter 598 is proven by a preponderance of the evidence; also limited unsupported emotional-distress damages.</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transaction records and proof of each element and actual loss; distinguish compensable economic harm from unsupported emotional-distress demands.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lastRenderedPageBreak/>
              <w:t>Poole v. Nevada Auto Dealership Investments, LLC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 Ct. App.</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2019</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135 Nev. Adv. Op. 39, 449 P.3d 479</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Defined “knowingly” and “material fact” under the NDTPA and reversed summary judgment where evidence created genuine factual disputes concerning nondisclosure and misrepresentation.</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Identify the exact omitted or false fact, show why it mattered to the transaction, and preserve evidence of the seller’s knowledge and the consumer’s decision.</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Benko v. Quality Loan Service Corp.</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2019</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135 Nev. Adv. Op. 64, 454 P.3d 1263</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deed-of-trust trustees acting within Nevada’s nonjudicial-foreclosure scheme were not required to obtain Chapter 649 collection-agency licenses, although foreclosure can otherwise fit Chapter 649’s debt-collection definition.</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Classify the actor and governing statutory scheme before alleging unlicensed collection; preserve notices, role documents, licenses, and conduct outside any statutory exemption.</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Pr>
          <w:rFonts w:ascii="Courier New" w:hAnsi="Courier New" w:cs="Courier New"/>
          <w:sz w:val="22"/>
        </w:rPr>
        <w:t>Educational summary: Federal law generally governs CRA and furnisher duties concerning accuracy, reinvestigation, dispute processing, and reporting. Nevada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Pr>
                <w:rFonts w:ascii="Courier New" w:hAnsi="Courier New" w:cs="Courier New"/>
                <w:b/>
                <w:sz w:val="22"/>
              </w:rPr>
              <w:t>Nevada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NRS 598C.110–598C.200; federal FCRA</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Use federal and Nevada dispute records; separately analyze whether a particular state claim is preserved or preempted.</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Federal FCRA; Nevada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NRS 205.463; NRS 205.4651</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Document identity-theft reports, program-card materials, creditor notices,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NRS 649.005–649.435;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Financial Institutions Division complaint; preserve communications, disputes, recordings, and license information.</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NRS 598C.300–598C.390</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freeze confirmation, release history, notice,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NRS 603A.010–603A.290</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Keep breach notice, data elements, dates, investigation findings, notification proof,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NDTPA, NRS 598.0903–598.0999</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Frame a distinct deceptive trade practice, knowledge where required, causation, damages, and four-year timing record.</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Pr>
          <w:rFonts w:ascii="Courier New" w:hAnsi="Courier New" w:cs="Courier New"/>
          <w:b/>
          <w:sz w:val="22"/>
        </w:rPr>
        <w:t>Safer zones (generally):</w:t>
      </w:r>
      <w:r>
        <w:rPr>
          <w:rFonts w:ascii="Courier New" w:hAnsi="Courier New" w:cs="Courier New"/>
          <w:sz w:val="22"/>
        </w:rPr>
        <w:t xml:space="preserve"> identity-theft conduct, deceptive collection communications, security-freeze violations, breach-notification duties, and NDTPA consumer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Pr>
          <w:rFonts w:ascii="Courier New" w:hAnsi="Courier New" w:cs="Courier New"/>
          <w:b/>
          <w:sz w:val="22"/>
        </w:rPr>
        <w:t>Risky zones (generally):</w:t>
      </w:r>
      <w:r>
        <w:rPr>
          <w:rFonts w:ascii="Courier New" w:hAnsi="Courier New" w:cs="Courier New"/>
          <w:sz w:val="22"/>
        </w:rPr>
        <w:t xml:space="preserve"> Nevada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Pr>
          <w:rFonts w:ascii="Courier New" w:hAnsi="Courier New" w:cs="Courier New"/>
          <w:b/>
          <w:sz w:val="22"/>
        </w:rPr>
        <w:t xml:space="preserve">Step 5 — </w:t>
      </w:r>
      <w:r>
        <w:rPr>
          <w:rFonts w:ascii="Courier New" w:hAnsi="Courier New" w:cs="Courier New"/>
          <w:sz w:val="22"/>
        </w:rPr>
        <w:t>File a Nevada complaint with the Attorney General’s Bureau of Consumer Protection, Financial Institutions Division, or Consumer Affairs Unit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Nevada AG / FID / Consumer Affairs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lastRenderedPageBreak/>
              <w:t>NDTPA evidence and limitations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Deceptive practice, knowledge where required, causation, actual damage, and four-year discovery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sz w:val="22"/>
        </w:rPr>
        <w:t>Nevada NDTPA consumer-fraud evidence package when a qualifying deceptive trade practice and resulting damages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Pr>
          <w:rFonts w:ascii="Courier New" w:hAnsi="Courier New" w:cs="Courier New"/>
          <w:b/>
          <w:sz w:val="22"/>
        </w:rPr>
        <w:t>Jurisdiction: Nevada (NV)</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Nevada Deceptive Trade Practices Act (NDTPA) | </w:t>
      </w:r>
      <w:r>
        <w:rPr>
          <w:rFonts w:ascii="Courier New" w:hAnsi="Courier New" w:cs="Courier New"/>
          <w:sz w:val="22"/>
        </w:rPr>
        <w:t>NRS 598.0903 through 598.0999; NRS 41.600 | Remedies: damages sustained, equitable relief, costs, and reasonable attorney’s fees for qualifying private consumer-fraud claims; public injunctive, restitutionary, administrative, and civil-penalty relief. | Authority: Nevada Attorney General / Consumer Affairs Unit / courts.</w:t>
      </w:r>
    </w:p>
    <w:p w14:paraId="52AAAA47"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Nevada Collection Agency Law | </w:t>
      </w:r>
      <w:r>
        <w:rPr>
          <w:rFonts w:ascii="Courier New" w:hAnsi="Courier New" w:cs="Courier New"/>
          <w:sz w:val="22"/>
        </w:rPr>
        <w:t>NRS 649.005 through 649.435, including NRS 649.370 and 649.375 | Remedies: licensing and disciplinary oversight, injunctive relief, administrative or criminal consequences where authorized; federal FDCPA remedies may apply separately. | Authority: Nevada Financial Institutions Division / courts applying federal law.</w:t>
      </w:r>
    </w:p>
    <w:p w14:paraId="7853415A"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lastRenderedPageBreak/>
        <w:t xml:space="preserve">Nevada Consumer Reporting and Security Freeze Law | </w:t>
      </w:r>
      <w:r>
        <w:rPr>
          <w:rFonts w:ascii="Courier New" w:hAnsi="Courier New" w:cs="Courier New"/>
          <w:sz w:val="22"/>
        </w:rPr>
        <w:t>NRS 598C.010 through 598C.200 and 598C.300 through 598C.390 | Remedies: actual damages, punitive damages for willful violations where allowed, costs, reasonable attorney’s fees, reinvestigation, correction, and freeze procedures. | Authority: Consumer Affairs Unit / Attorney General / courts.</w:t>
      </w:r>
    </w:p>
    <w:p w14:paraId="2CFF188D"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Nevada Security and Breach-Notification Law | </w:t>
      </w:r>
      <w:r>
        <w:rPr>
          <w:rFonts w:ascii="Courier New" w:hAnsi="Courier New" w:cs="Courier New"/>
          <w:sz w:val="22"/>
        </w:rPr>
        <w:t>NRS 603A.010 through 603A.290, including NRS 603A.220 | Remedies: deceptive-trade-practice enforcement, authorized civil action, restitution, and injunctive relief under the statute’s terms. | Authority: Nevada Attorney General / district attorneys / courts.</w:t>
      </w:r>
    </w:p>
    <w:p w14:paraId="515DA0A1"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Nevada Identity-Theft Provisions | </w:t>
      </w:r>
      <w:r>
        <w:rPr>
          <w:rFonts w:ascii="Courier New" w:hAnsi="Courier New" w:cs="Courier New"/>
          <w:sz w:val="22"/>
        </w:rPr>
        <w:t>NRS 205.463 and NRS 205.4651 | Remedies: criminal penalties, restitution where ordered, and identity-restoration support through the identity-theft program-card process. | Authority: law enforcement / Attorney General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Nevada Collection Agency Regulations, NAC Chapter 649 — </w:t>
      </w:r>
      <w:r>
        <w:rPr>
          <w:rFonts w:ascii="Courier New" w:hAnsi="Courier New" w:cs="Courier New"/>
          <w:sz w:val="22"/>
        </w:rPr>
        <w:t>consult current Nevada administrative rules governing licensing, examinations, records, complaints, remote operations, and discipline. Verify the exact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Nevada Attorney General — Bureau of Consumer Protection: </w:t>
      </w:r>
      <w:r>
        <w:rPr>
          <w:rFonts w:ascii="Courier New" w:hAnsi="Courier New" w:cs="Courier New"/>
          <w:sz w:val="22"/>
        </w:rPr>
        <w:t>consumer complaint intake and deceptive-trade-practice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Nevada Financial Institutions Division: </w:t>
      </w:r>
      <w:r>
        <w:rPr>
          <w:rFonts w:ascii="Courier New" w:hAnsi="Courier New" w:cs="Courier New"/>
          <w:sz w:val="22"/>
        </w:rPr>
        <w:t>collection-agency complaint procedures, licensing, examinations, and disciplinary oversight.</w:t>
      </w:r>
    </w:p>
    <w:p w14:paraId="40D5DED0"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b/>
          <w:sz w:val="22"/>
        </w:rPr>
        <w:t xml:space="preserve">Nevada Consumer Affairs Unit: </w:t>
      </w:r>
      <w:r>
        <w:rPr>
          <w:rFonts w:ascii="Courier New" w:hAnsi="Courier New" w:cs="Courier New"/>
          <w:sz w:val="22"/>
        </w:rPr>
        <w:t>consumer-reporting complaint and administrative pathway within the Unit’s statutory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Pr>
          <w:rFonts w:ascii="Courier New" w:hAnsi="Courier New" w:cs="Courier New"/>
          <w:sz w:val="22"/>
        </w:rPr>
        <w:t>Local ordinances are not typically the controlling authority for credit-reporting disputes; none are identified as directly applicable in Nevada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Betsinger v. D.R. Horton,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2010</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126 Nev. 162, 232 P.3d 433</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a Nevada deceptive-trade-practices claim under NRS Chapter 598 is proven by a preponderance of the evidence; also limited unsupported emotional-distress damages.</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Preserve transaction records and proof of each element and actual loss; distinguish compensable economic harm from unsupported emotional-distress demands.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Poole v. Nevada Auto Dealership Investments, LLC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 Ct. App.</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2019</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135 Nev. Adv. Op. 39, 449 P.3d 479</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Defined “knowingly” and “material fact” under the NDTPA and reversed summary judgment where evidence created genuine factual disputes concerning nondisclosure and misrepresentation.</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Identify the exact omitted or false fact, show why it mattered to the transaction, and preserve evidence of the seller’s knowledge and the consumer’s decision.</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Benko v. Quality Loan Service Corp.</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Nev.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2019</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135 Nev. Adv. Op. 64, 454 P.3d 1263</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Held that deed-of-trust trustees acting within Nevada’s nonjudicial-foreclosure scheme were not required to obtain Chapter 649 collection-agency licenses, although foreclosure can otherwise fit Chapter 649’s debt-collection definition.</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Pr>
                <w:rFonts w:ascii="Courier New" w:hAnsi="Courier New" w:cs="Courier New"/>
                <w:sz w:val="22"/>
              </w:rPr>
              <w:t>Classify the actor and governing statutory scheme before alleging unlicensed collection; preserve notices, role documents, licenses, and conduct outside any statutory exemption.</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Pr>
          <w:rFonts w:ascii="Courier New" w:hAnsi="Courier New" w:cs="Courier New"/>
          <w:b/>
          <w:sz w:val="22"/>
        </w:rPr>
        <w:t>Authority Library Version ID:</w:t>
      </w:r>
      <w:r>
        <w:rPr>
          <w:rFonts w:ascii="Courier New" w:hAnsi="Courier New" w:cs="Courier New"/>
          <w:sz w:val="22"/>
        </w:rPr>
        <w:t xml:space="preserve"> TK-Authority-2026-07-NV</w:t>
      </w:r>
    </w:p>
    <w:p w14:paraId="67548EF2" w14:textId="77777777" w:rsidR="00756B19" w:rsidRPr="00566B6A" w:rsidRDefault="00F247EE">
      <w:pPr>
        <w:spacing w:after="60"/>
        <w:rPr>
          <w:rFonts w:ascii="Courier New" w:hAnsi="Courier New" w:cs="Courier New"/>
          <w:sz w:val="22"/>
        </w:rPr>
      </w:pPr>
      <w:r>
        <w:rPr>
          <w:rFonts w:ascii="Courier New" w:hAnsi="Courier New" w:cs="Courier New"/>
          <w:b/>
          <w:sz w:val="22"/>
        </w:rPr>
        <w:t>Last Updated Date:</w:t>
      </w:r>
      <w:r>
        <w:rPr>
          <w:rFonts w:ascii="Courier New" w:hAnsi="Courier New" w:cs="Courier New"/>
          <w:sz w:val="22"/>
        </w:rPr>
        <w:t xml:space="preserve"> July 24, 2026</w:t>
      </w:r>
    </w:p>
    <w:p w14:paraId="31FCC85C" w14:textId="77777777" w:rsidR="00756B19" w:rsidRPr="00566B6A" w:rsidRDefault="00F247EE">
      <w:pPr>
        <w:spacing w:after="60"/>
        <w:rPr>
          <w:rFonts w:ascii="Courier New" w:hAnsi="Courier New" w:cs="Courier New"/>
          <w:sz w:val="22"/>
        </w:rPr>
      </w:pPr>
      <w:r>
        <w:rPr>
          <w:rFonts w:ascii="Courier New" w:hAnsi="Courier New" w:cs="Courier New"/>
          <w:b/>
          <w:sz w:val="22"/>
        </w:rPr>
        <w:t>Jurisdiction Filters Applied:</w:t>
      </w:r>
      <w:r>
        <w:rPr>
          <w:rFonts w:ascii="Courier New" w:hAnsi="Courier New" w:cs="Courier New"/>
          <w:sz w:val="22"/>
        </w:rPr>
        <w:t xml:space="preserve"> Federal + NV + WA</w:t>
      </w:r>
    </w:p>
    <w:p w14:paraId="499F4138" w14:textId="77777777" w:rsidR="00756B19" w:rsidRPr="00566B6A" w:rsidRDefault="00F247EE">
      <w:pPr>
        <w:spacing w:after="60"/>
        <w:rPr>
          <w:rFonts w:ascii="Courier New" w:hAnsi="Courier New" w:cs="Courier New"/>
          <w:sz w:val="22"/>
        </w:rPr>
      </w:pPr>
      <w:r>
        <w:rPr>
          <w:rFonts w:ascii="Courier New" w:hAnsi="Courier New" w:cs="Courier New"/>
          <w:sz w:val="22"/>
        </w:rPr>
        <w:t>Update Discipline: Citations must be validated against official sources before inclusion. Nevada statutory references in this version were checked against the Nevada Legislature’s current publications. Federal FCRA authorities were checked against the Office of the Law Revision Counsel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Pr>
          <w:rFonts w:ascii="Courier New" w:hAnsi="Courier New" w:cs="Courier New"/>
          <w:sz w:val="22"/>
        </w:rPr>
        <w:t>This section was generated using a continuously updated authority library designed to identify relevant federal and Nevada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Pr>
          <w:rFonts w:ascii="Courier New" w:hAnsi="Courier New" w:cs="Courier New"/>
          <w:sz w:val="22"/>
        </w:rPr>
        <w:t>Regulations: current Nevada administrative rule citation by agency,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CCB2F" w14:textId="77777777" w:rsidR="00754AE5" w:rsidRDefault="00754AE5">
      <w:pPr>
        <w:spacing w:after="0" w:line="240" w:lineRule="auto"/>
      </w:pPr>
      <w:r>
        <w:separator/>
      </w:r>
    </w:p>
  </w:endnote>
  <w:endnote w:type="continuationSeparator" w:id="0">
    <w:p w14:paraId="0E177E36" w14:textId="77777777" w:rsidR="00754AE5" w:rsidRDefault="0075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30884" w14:textId="77777777" w:rsidR="00754AE5" w:rsidRDefault="00754AE5">
      <w:pPr>
        <w:spacing w:after="0" w:line="240" w:lineRule="auto"/>
      </w:pPr>
      <w:r>
        <w:separator/>
      </w:r>
    </w:p>
  </w:footnote>
  <w:footnote w:type="continuationSeparator" w:id="0">
    <w:p w14:paraId="110696C4" w14:textId="77777777" w:rsidR="00754AE5" w:rsidRDefault="0075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NEVADA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4AE5"/>
    <w:rsid w:val="00756B19"/>
    <w:rsid w:val="00964317"/>
    <w:rsid w:val="00AA1D8D"/>
    <w:rsid w:val="00B47730"/>
    <w:rsid w:val="00BD7EED"/>
    <w:rsid w:val="00CB0299"/>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4398</Words>
  <Characters>25070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29410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2026-07-24T15:36:00Z</dcterms:created>
  <dcterms:modified xsi:type="dcterms:W3CDTF">2026-07-24T15:36:00Z</dcterms:modified>
  <cp:category/>
</cp:coreProperties>
</file>