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New York (NY)</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None identified</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New York Unfair, Deceptive, or Abusive Acts and False Advertising Laws</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N.Y. Gen. Bus. Law §§ 349 and 350</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Section 349 prohibits unfair, deceptive, or abusive acts or practices in the conduct of business, trade, commerce, or services in New York. Section 350 separately prohibits false advertising.</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Under § 349(h), a qualifying private plaintiff may seek injunctive relief and actual damages or $50, whichever is greater; a court may award limited treble damages for a willful or knowing violation and reasonable attorney’s fees. Under § 350-e, a qualifying false-advertising plaintiff may seek injunctive relief and actual damages or $500, whichever is greater, with enhanced damages and fees as authorized. The Attorney General may seek injunctions, restitution, civil penalties, and other statutory relief.</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For a deceptive-practices claim, New York decisions generally require consumer-oriented conduct, a materially misleading act or omission, actual injury, and causation; justifiable reliance is not an element. Private GBL § 349 claims are generally subject to the three-year period in CPLR 214(2).</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New York State Office of the Attorney General — Consumer Frauds and Protection Bureau; see N.Y. Gen. Bus. Law § 349(b) and N.Y. Exec. Law § 63(12).</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Collection/tradeline derogatory activity present — review New York Debt Collection Procedures, applicable Department of Financial Services regulations, and federal debt-collection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Overview: N.Y. Gen. Bus. Law article 29-H prohibits specified abusive, misleading, and unauthorized collection practices by principal creditors and their agents. For qualifying third-party debt collectors and debt buyers, 23 N.Y.C.R.R. Part 1 adds disclosure, substantiation, payment-plan, and time-barred-debt requirements. The federal Fair Debt Collection Practices Act (FDCPA) remains independently applicable where its definitions are met.</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N.Y. Gen. Bus. Law §§ 600 through 603; 23 N.Y.C.R.R. Part 1;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New York Attorney General; New York State Department of Financial Services;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New York has a state Fair Credit Reporting Act governing permissible dissemination, disclosures, dispute resolution, prohibited information, civil liability, identity-theft furnishing, and security freezes. Federal FCRA procedures remain independently important and may preempt conflicting state-law theories.</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New York consumers may request placement, temporary lifting, or removal of a security freeze under N.Y. Gen. Bus. Law § 380-t. Section 380-u provides a protected-minor security-record freeze procedure.</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request state-law file disclosures under N.Y. Gen. Bus. Law §§ 380-d and 380-e, federal disclosures under 15 U.S.C. § 1681g, and security-freeze controls under §§ 380-t and 380-u.</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N.Y. Gen. Bus. Law § 380-f provides a state dispute-resolution procedure. Inaccurate, incomplete, or unverifiable addresses, telephone numbers, employer entries, and other personal identifiers may also be disputed directly with the consumer reporting agency under 15 U.S.C. § 1681i. New York claims should be evaluated separately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New York supplements identity restoration through N.Y. Gen. Bus. Law § 380-s, security-freeze provisions, and Penal Law identity-theft offenses.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N.Y. Gen. Bus. Law §§ 380-l and 380-m provide qualifying willful or negligent civil remedies, including actual damages, costs, attorney’s fees, and punitive damages for willful noncompliance. Section 380-n generally imposes a two-year limitations period. Section 380-m expressly excludes § 380-t, so security-freeze remedies require section-specific review.</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lastRenderedPageBreak/>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Furnisher duties after CRA notice: When an identifiable person furnished the disputed information and receives notice from the consumer reporting agency under 15 U.S.C. § 1681i(a)(2), 15 U.S.C. § 1681s-2(b)(1) generally requires investigation, review of relevant </w:t>
      </w:r>
      <w:r w:rsidRPr="00566B6A">
        <w:rPr>
          <w:rFonts w:ascii="Courier New" w:hAnsi="Courier New" w:cs="Courier New"/>
          <w:bCs/>
          <w:sz w:val="22"/>
        </w:rPr>
        <w:lastRenderedPageBreak/>
        <w:t>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N.Y. Penal Law §§ 190.77 through 190.84 define and criminalize multiple degrees of identity theft and related conduct, subject to the elements and defenses stated in the Penal Law.</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Credit-file identity restoration: N.Y. Gen. Bus. Law § 380-s addresses furnishing information resulting from identity theft and provides documentation-based procedures relevant to reinvestigation and correction.</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lastRenderedPageBreak/>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N.Y. Gen. Bus. Law § 899-aa requires qualifying notice to affected New York residents after unauthorized access to or acquisition of private information, subject to statutory exceptions, law-enforcement delay, and timing requirements.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New York’s SHIELD Act framework includes N.Y. Gen. Bus. Law § 899-aa for breach notification and § 899-bb for reasonable administrative, technical, and physical safeguards.</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No single general omnibus consumer-data privacy statute is used as the controlling authority for this module; sector-specific New York and federal privacy requirements may apply depending on the holder, data type, and transaction.</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 investigation records, notice content, delivery dates,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New York Attorney General: Consumer Frauds and Protection Bureau — consumer complaint intake and enforcement under GBL §§ 349–350, Executive Law § 63(12), and other applicable statutes.</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New York State Department of Financial Services: Regulatory oversight, complaint review, and administrative enforcement for covered debt collectors and state-supervised financial institutions.</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New York Department of State — Division of Consumer Protection: Consumer education, complaint mediation, and referral pathways within its jurisdiction.</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statewide credit-reporting disputes. New York City debt-collection licensing and conduct rules may apply when city jurisdiction exists and should be verified separately.</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N.Y. Gen. Bus. Law §§ 349–350</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Unfair, deceptive, or abusive practices; false advertising</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Private damages, injunctions, enhanced damages, and fees where authorized; AG injunction, restitution, and penalties</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Public-facing practice; representation or omission; materiality; actual injury; causation; dates</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N.Y. Gen. Bus. Law §§ 600–603; 23 N.Y.C.R.R. Part 1</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Prohibited collection conduct; disclosures and substantiation for covered collectors</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AG/DA restraint actions, statutory penalties, criminal enforcement, or DFS administrative relief as applicable</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identity; communications; dispute and substantiation requests; itemized balance; payment ledger</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N.Y. Gen. Bus. Law §§ 380–380-v; §§ 380-t, 380-u</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 fair-credit-reporting duties and security freezes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Civil relief under §§ 380-l and 380-m, subject to § 380-n and section-specific limits; freeze placement and access controls</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Report page; file disclosure; dispute result; freeze confirmation; access request; release history</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N.Y. Gen. Bus. Law §§ 899-aa, 899-bb</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Security-breach notice and reasonable data safeguards</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Attorney General enforcement, notice compliance, and civil penalties where authorized</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data elements; risk assessment; investigation and remediation records</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N.Y. Penal Law §§ 190.77–190.84; N.Y. Gen. Bus. Law § 380-s</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and credit-file restoration</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remedies and restitution where authorized; investigation and correction procedures</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identity-theft affidavit; creditor and bureau notices; investigation result</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New York AG — Consumer Frauds and Protection Bureau</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 intake and enforcement under GBL §§ 349–350 and Executive Law § 63(12)</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Review, investigation, settlement, restitution, injunction, penalties, or civil enforcement as authorized</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agency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New York DFS / Department of State Division of Consumer Protection</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Covered debt collectors, state-supervised financial entities, and consumer complaint assistance</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Jurisdictional review, mediation, supervision, or administrative action where authorized</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Entity status; complaint file; regulator correspondence; license or registration record</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and debt-collection codes, including New York City rules where applicable</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New York and federal frameworks; confirm local jurisdiction</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New York (NY)</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decisions below interpret New York deceptive-practices law and a New York Attorney General action involving credit-card servicing and collection; the debt-collection decision should not be described as creating a private claim under N.Y. Gen. Bus. Law §§ 600–603.</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Oswego Laborers’ Local 214 Pension Fund v. Marine Midland Bank, N.A.</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N.Y. Ct. App.</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1995</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85 N.Y.2d 20, 647 N.E.2d 741</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Established that GBL § 349 reaches consumer-oriented conduct that is materially misleading to a reasonable consumer and causes actual injury. Justifiable reliance and intent to defraud are not elements of the statutory deceptive-practices claim.</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standardized or public-facing practice, the material representation or omission, the consumer’s actual injury, and a clear causal connection; distinguish a broad consumer practice from a private contract dispute.</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Stutman v. Chemical Bank</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N.Y. Ct. App.</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2000</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95 N.Y.2d 24, 731 N.E.2d 608</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Restated the three elements of a GBL § 349 claim—consumer-oriented conduct, material deception, and injury caused by the deception—and confirmed that reliance is not required, although causation and actual injury are.</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challenged demand, fee, disclosure, payment record, and resulting loss; explain how the misleading practice caused an injury independent of the deception itself.</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Matter of People v. Applied Card Systems, Inc.</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N.Y. Ct. App.</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11 N.Y.3d 105, 894 N.E.2d 1</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Upheld New York Attorney General claims under Executive Law § 63(12) and GBL §§ 349–350 arising from deceptive subprime credit-card solicitations, servicing, re-aging, and collection practices, and held that the claims were not preempted by TILA, subject to limits from a prior class settlement.</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solicitations, account-opening disclosures, fee calculations, statements, collection scripts, payment-plan or re-aging terms, consumer complaints, and evidence showing what information was misleading or omitted.</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Oswego Laborers’ Local 214 Pension Fund v. Marine Midland Bank, N.A.</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N.Y. Ct. App.</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1995</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85 N.Y.2d 20, 647 N.E.2d 741</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Established that GBL § 349 reaches consumer-oriented conduct that is materially misleading to a reasonable consumer and causes actual injury. Justifiable reliance and intent to defraud are not elements of the statutory deceptive-practices claim.</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standardized or public-facing practice, the material representation or omission, the consumer’s actual injury, and a clear causal connection; distinguish a broad consumer practice from a private contract dispute.</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Stutman v. Chemical Bank</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N.Y. Ct. App.</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2000</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95 N.Y.2d 24, 731 N.E.2d 608</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Restated the three elements of a GBL § 349 claim—consumer-oriented conduct, material deception, and injury caused by the deception—and confirmed that reliance is not required, although causation and actual injury are.</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challenged demand, fee, disclosure, payment record, and resulting loss; explain how the misleading practice caused an injury independent of the deception itself.</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Matter of People v. Applied Card Systems, Inc.</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N.Y. Ct. App.</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11 N.Y.3d 105, 894 N.E.2d 1</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Upheld New York Attorney General claims under Executive Law § 63(12) and GBL §§ 349–350 arising from deceptive subprime credit-card solicitations, servicing, re-aging, and collection practices, and held that the claims were not preempted by TILA, subject to limits from a prior class settlement.</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solicitations, account-opening disclosures, fee calculations, statements, collection scripts, payment-plan or re-aging terms, consumer complaints, and evidence showing what information was misleading or omitted.</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New York claims that duplicate or conflict with those duties may be preemption-sensitive, even though New York separately regulates consumer reporting, freezes, identity theft, collection conduct, and data security.</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New York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N.Y. GBL article 25 (§§ 380–380-v); federal FCRA remains central</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both state and federal dispute records; identify the precise New York provision and analyze federal preemption before asserting parallel reporting duties.</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New York law only where distinct or expressly preserved</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framework and bureau-dispute notice trail; separate reporting conduct from independently deceptive collection or transaction conduct.</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N.Y. Penal Law §§ 190.77–190.84; N.Y. GBL § 380-s</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police/FTC reports, identity-theft affidavits, state reinvestigation requests, and federal blocking submissions.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N.Y. GBL §§ 600–603; 23 N.Y.C.R.R. Part 1;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New York AG or DFS complaint; preserve communications, substantiation requests, disputed-status notices, fee support, and collector identity.</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N.Y. GBL §§ 380-t, 380-u</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request and response times, release history, authentication records, notice, correction request, and resulting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N.Y. GBL §§ 899-aa, 899-bb</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notice, affected data elements, dates, risk assessment, safeguard records, investigation findings, and regulator complaint.</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 false advertising</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N.Y. GBL §§ 349–350; N.Y. Exec. Law § 63(12)</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consumer-oriented conduct, material deception or false advertising, actual injury, and causation; preserve the three-year CPLR 214(2) timing analysis for private § 349 claims.</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 identity-theft conduct, deceptive collection communications, security-freeze violations, breach-notification or safeguard duties, and GBL §§ 349–350 deception that is factually distinct from CRA or furnisher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New York claims that attempt to impose accuracy, reinvestigation, dispute-processing, or furnishing duties parallel to or inconsistent with the federal FCRA without a preserved state-law basis.</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Step 5 — File a New York complaint with the Attorney General, Department of Financial Services, or Division of Consumer Protection as the subject and agency jurisdiction require;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New York AG / DFS / Consumer Protection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GBL §§ 349–350 evidence file + demand notice</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orientation; material deception or false advertising; actual injury; causation; chronology and limitations</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New York GBL §§ 349–350 evidence-and-demand notice when consumer-oriented deception, materiality, actual injury, and causation are documented; no general private § 349 pre-suit cure notice is required by the statute</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New York (NY)</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New York Unfair, Deceptive, or Abusive Acts and False Advertising Laws | </w:t>
      </w:r>
      <w:r w:rsidRPr="00566B6A">
        <w:rPr>
          <w:rFonts w:ascii="Courier New" w:hAnsi="Courier New" w:cs="Courier New"/>
          <w:sz w:val="22"/>
        </w:rPr>
        <w:t>N.Y. Gen. Bus. Law §§ 349–350 | Remedies: private injunctive and damages remedies under §§ 349(h) and 350-e; enhanced damages and attorney’s fees where authorized; Attorney General injunction, restitution, penalties, and other enforcement relief. | Authority: New York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New York Debt Collection Procedures | </w:t>
      </w:r>
      <w:r w:rsidRPr="00566B6A">
        <w:rPr>
          <w:rFonts w:ascii="Courier New" w:hAnsi="Courier New" w:cs="Courier New"/>
          <w:sz w:val="22"/>
        </w:rPr>
        <w:t>N.Y. Gen. Bus. Law §§ 600–603 | Remedies: criminal or civil enforcement as specified, Attorney General or district-attorney restraint actions, and other remedies under applicable state regulations and federal law. | Authority: New York Attorney General / district attorneys / Department of Financial Services.</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lastRenderedPageBreak/>
        <w:t xml:space="preserve">New York Fair Credit Reporting Act and Security Freeze Law | </w:t>
      </w:r>
      <w:r w:rsidRPr="00566B6A">
        <w:rPr>
          <w:rFonts w:ascii="Courier New" w:hAnsi="Courier New" w:cs="Courier New"/>
          <w:sz w:val="22"/>
        </w:rPr>
        <w:t>N.Y. Gen. Bus. Law §§ 380–380-v, including §§ 380-t and 380-u | Remedies: qualifying willful or negligent civil relief under §§ 380-l and 380-m, subject to § 380-n and section-specific limitations; security-freeze procedures and restrictions. | Authority: courts / consumer reporting agencies / state regulators.</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New York SHIELD Act | </w:t>
      </w:r>
      <w:r w:rsidRPr="00566B6A">
        <w:rPr>
          <w:rFonts w:ascii="Courier New" w:hAnsi="Courier New" w:cs="Courier New"/>
          <w:sz w:val="22"/>
        </w:rPr>
        <w:t>N.Y. Gen. Bus. Law §§ 899-aa and 899-bb | Remedies: Attorney General enforcement, breach-notification compliance, civil penalties where authorized, and reasonable safeguard requirements; § 899-bb does not create a private right of action. | Authority: New York Attorney General.</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New York Identity-Theft and Credit-File Restoration Provisions | </w:t>
      </w:r>
      <w:r w:rsidRPr="00566B6A">
        <w:rPr>
          <w:rFonts w:ascii="Courier New" w:hAnsi="Courier New" w:cs="Courier New"/>
          <w:sz w:val="22"/>
        </w:rPr>
        <w:t>N.Y. Penal Law §§ 190.77–190.84 and N.Y. Gen. Bus. Law § 380-s | Remedies: criminal prosecution and restitution where authorized; documentation-based credit-file investigation and correction procedures. | Authority: law enforcement / courts / consumer reporting agencies.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New York State Department of Financial Services, 23 N.Y.C.R.R. Part 1 — consult current rules governing covered debt collectors and debt buyers, including disclosures, substantiation, time-barred debt, payment arrangements, and recordkeeping. Verify applicability before filing or relying on a rule.</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New York Attorney General — Consumer Frauds and Protection Bureau: consumer complaint intake and enforcement guidance under GBL §§ 349–350 and Executive Law § 63(12).</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New York State Department of Financial Services: debt-collection complaint procedures and oversight for covered entities.</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New York Department of State — Division of Consumer Protection: complaint mediation, consumer education, and referral resources.</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statewide credit-reporting disputes. New York City debt-collection licensing and conduct rules may apply when city jurisdiction exists and should be verified separately.</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Oswego Laborers’ Local 214 Pension Fund v. Marine Midland Bank, N.A.</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N.Y. Ct. App.</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1995</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85 N.Y.2d 20, 647 N.E.2d 741</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Established that GBL § 349 reaches consumer-oriented conduct that is materially misleading to a reasonable consumer and causes actual injury. Justifiable reliance and intent to defraud are not elements of the statutory deceptive-practices claim.</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standardized or public-facing practice, the material representation or omission, the consumer’s actual injury, and a clear causal connection; distinguish a broad consumer practice from a private contract dispute.</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Stutman v. Chemical Bank</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N.Y. Ct. App.</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2000</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95 N.Y.2d 24, 731 N.E.2d 608</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Restated the three elements of a GBL § 349 claim—consumer-oriented conduct, material deception, and injury caused by the deception—and confirmed that reliance is not required, although causation and actual injury are.</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challenged demand, fee, disclosure, payment record, and resulting loss; explain how the misleading practice caused an injury independent of the deception itself.</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Matter of People v. Applied Card Systems, Inc.</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N.Y. Ct. App.</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11 N.Y.3d 105, 894 N.E.2d 1</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Upheld New York Attorney General claims under Executive Law § 63(12) and GBL §§ 349–350 arising from deceptive subprime credit-card solicitations, servicing, re-aging, and collection practices, and held that the claims were not preempted by TILA, subject to limits from a prior class settlement.</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solicitations, account-opening disclosures, fee calculations, statements, collection scripts, payment-plan or re-aging terms, consumer complaints, and evidence showing what information was misleading or omitted.</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TK-Authority-2026-07-NY</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24,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lastRenderedPageBreak/>
        <w:t>Jurisdiction Filters Applied: Federal + NY</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Citations must be validated against official sources before inclusion. New York statutory references in this version were checked against New York State’s official Open Legislation publications, and case citations were checked against the New York State Law Reporting Bureau. Federal FCRA authorities were checked against the Office of the Law Revision Counsel U.S. Code and current Regulation V materials available on July 24,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New York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New York administrative rule citation by agency, title, part,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EC8AA" w14:textId="77777777" w:rsidR="009C620C" w:rsidRDefault="009C620C">
      <w:pPr>
        <w:spacing w:after="0" w:line="240" w:lineRule="auto"/>
      </w:pPr>
      <w:r>
        <w:separator/>
      </w:r>
    </w:p>
  </w:endnote>
  <w:endnote w:type="continuationSeparator" w:id="0">
    <w:p w14:paraId="2709BB64" w14:textId="77777777" w:rsidR="009C620C" w:rsidRDefault="009C6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A6F46" w14:textId="77777777" w:rsidR="009C620C" w:rsidRDefault="009C620C">
      <w:pPr>
        <w:spacing w:after="0" w:line="240" w:lineRule="auto"/>
      </w:pPr>
      <w:r>
        <w:separator/>
      </w:r>
    </w:p>
  </w:footnote>
  <w:footnote w:type="continuationSeparator" w:id="0">
    <w:p w14:paraId="660746DF" w14:textId="77777777" w:rsidR="009C620C" w:rsidRDefault="009C62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NEW YORK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230F6"/>
    <w:rsid w:val="00463F22"/>
    <w:rsid w:val="00566B6A"/>
    <w:rsid w:val="00655F05"/>
    <w:rsid w:val="006F27AD"/>
    <w:rsid w:val="00736F61"/>
    <w:rsid w:val="00756B19"/>
    <w:rsid w:val="00964317"/>
    <w:rsid w:val="009C620C"/>
    <w:rsid w:val="00AA1D8D"/>
    <w:rsid w:val="00B47730"/>
    <w:rsid w:val="00BD7EE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4875</Words>
  <Characters>27792</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32602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2026-07-24T16:32:00Z</dcterms:created>
  <dcterms:modified xsi:type="dcterms:W3CDTF">2026-07-24T16:32:00Z</dcterms:modified>
  <cp:category/>
</cp:coreProperties>
</file>