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Ohio (OH)</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Ohio Consumer Sales Practices Act (CSPA)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Ohio Rev. Code §§ 1345.01 through 1345.13</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or deceptive acts and unconscionable consumer-sales practices by suppliers in consumer transactions.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consumer may seek rescission or actual economic damages and qualifying noneconomic damages. Enhanced relief and attorney’s fees may be available under Ohio Rev. Code § 1345.09. The Attorney General may seek injunctions and other statutory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Ohio Rev. Code § 1345.09 authorizes qualifying consumer claims. Under § 1345.10(C), an action generally must be brought within two years after the occurrence of the violation.</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Ohio Attorney General — Consumer Protection Section; Ohio Rev. Code §§ 1345.05 through 1345.08.</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activity present — review Ohio collection-assignment requirements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Ohio Rev. Code § 1319.12 governs specified collection-agency assignments, venue, account identification, and attorney appearance. The FDCPA remains the principal federal consumer-conduct statute.</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Ohio Rev. Code § 1319.12;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Ohio Attorney General; Ohio Department of Commerce, Division of Financial Institutions, where applicable; CFPB and FTC under federal law.</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Ohio analogue to the federal FCRA was identified for general accuracy and reinvestigation duties. Ohio Rev. Code § 1349.52 provides state security-freeze rights.</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Ohio consumers may place, temporarily lift, or remove a security freeze under Ohio Rev. Code § 1349.52; § 1349.521 addresses protected consumers.</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use federal FCRA file-disclosure rights and Ohio freeze procedures to control specified releases of credit information.</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Dispute inaccurate, incomplete, or unverifiable personal identifiers directly with each consumer reporting agency under 15 U.S.C. § 1681i. Ohio state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Federal law principally governs fraud alerts; Ohio supplements protection through its freeze, identity-fraud, and breach-notification laws.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The Attorney General may seek injunctive relief and civil penalties for violations of Ohio Rev. Code § 1349.52, subject to the statute’s terms.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t>
      </w:r>
      <w:r w:rsidRPr="00566B6A">
        <w:rPr>
          <w:rFonts w:ascii="Courier New" w:hAnsi="Courier New" w:cs="Courier New"/>
          <w:bCs/>
          <w:sz w:val="22"/>
        </w:rPr>
        <w:lastRenderedPageBreak/>
        <w:t>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w:t>
      </w:r>
      <w:r w:rsidRPr="00566B6A">
        <w:rPr>
          <w:rFonts w:ascii="Courier New" w:hAnsi="Courier New" w:cs="Courier New"/>
          <w:bCs/>
          <w:sz w:val="22"/>
        </w:rPr>
        <w:lastRenderedPageBreak/>
        <w:t>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fraud: Ohio Rev. Code § 2913.49 criminalizes using, obtaining, or possessing another person’s identifying information with intent to hold oneself out as that person or to aid fraud.</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record: Preserve police and FTC identity-theft reports, freeze confirmations, creditor notices, court records, and federal FCRA blocking documentation.</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Ohio Rev. Code § 1347.12 applies to state and local agencies; § 1349.19 governs qualifying private-sector breaches and notice to affected Ohio residents.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Ohio data-breach duties are principally in §§ 1347.12 and 1349.19; security-freeze rights are in §§ 1349.52 and 1349.521.</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Sector-specific Ohio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Ohio Attorney General — Consumer Protection Section: complaint intake, investigation, rulemaking, and CSPA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Ohio Department of Commerce, Division of Financial Institutions: complaint and regulatory pathways for entities within its jurisdiction.</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controlling for credit-reporting disputes; verify any Ohio municipal provision before relying on it.</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Rev. Code §§ 1345.01–.13</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CSPA — unfair, deceptive, or unconscionable consumer-sales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Rescission/damages; enhanced relief and fees where authorized; AG enforcement</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supplier, representation/practice, loss, prior authority, filing date</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Rev. Code § 1319.12</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Collection-account assignments, venue, account identification, attorney appearance</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compliance; FDCPA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Assignment chain, collector identity, complaint, letters, ledger, venue</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Rev. Code §§ 1349.52–.521</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lifts, removals, protected consumers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injunctions and civil penalties; federal remedies may apply separately</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release history, notice,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Rev. Code §§ 1347.12; 1349.19</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Public-agency and private-sector breach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statutory enforcement procedures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Rev. Code § 2913.49</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fraud</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and restitution where ordered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bureau and creditor notices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AG — Consumer Protection Section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intake and CSPA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rules, voluntary compliance,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exhibits,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Commerce — Division of Financial Institutions</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Regulated financial entities within its jurisdiction</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review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record, complaint file,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provisions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Ohio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Ohio (OH)</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case below applies Ohio consumer law and federal debt-collection principles to collection litigation.</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Marrone v. Philip Morris USA,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110 Ohio St.3d 5, 2006-Ohio-2869, 850 N.E.2d 31</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Enhanced or class relief under § 1345.09(B) requires a substantially similar prior Attorney General rule or public Ohio decision.</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specific prior authority and compare the industry, transaction, and challenged conduct.</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Anderson v. Barclay’s Capital Real Estate,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136 Ohio St.3d 31, 2013-Ohio-1933, 989 N.E.2d 997</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Mortgage servicing is not a consumer transaction, and a servicer is not a supplier under the CSPA definitions addressed.</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origination from servicing, assignment, furnishing, foreclosure, and collection conduct.</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Taylor v. First Resolution Investment Corp.</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2016</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148 Ohio St.3d 627, 2016-Ohio-3444, 71 N.E.3d 573</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 buyers and their attorneys may be subject to the CSPA; time-barred litigation or unlawful interest may support FDCPA/CSPA claims.</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complaint, assignment chain, agreement, limitations dates, interest calculation, balance, and service record.</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Marrone v. Philip Morris USA,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110 Ohio St.3d 5, 2006-Ohio-2869, 850 N.E.2d 31</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Enhanced or class relief under § 1345.09(B) requires a substantially similar prior Attorney General rule or public Ohio decision.</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specific prior authority and compare the industry, transaction, and challenged conduct.</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Anderson v. Barclay’s Capital Real Estate,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136 Ohio St.3d 31, 2013-Ohio-1933, 989 N.E.2d 997</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Mortgage servicing is not a consumer transaction, and a servicer is not a supplier under the CSPA definitions addressed.</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origination from servicing, assignment, furnishing, foreclosure, and collection conduct.</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Taylor v. First Resolution Investment Corp.</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2016</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148 Ohio St.3d 627, 2016-Ohio-3444, 71 N.E.3d 573</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 buyers and their attorneys may be subject to the CSPA; time-barred litigation or unlawful interest may support FDCPA/CSPA claims.</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complaint, assignment chain, agreement, limitations dates, interest calculation, balance, and service record.</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accuracy, reinvestigation, dispute processing, and reporting. Parallel Ohio claims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Ohio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Ohio mini-FCRA identified; §§ 1349.52/.521 address freezes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records; avoid parallel Ohio reporting duties without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Ohio law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Rev. Code § 2913.49</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Rev. Code § 1319.12; CSPA where applicable;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assignment chain, limitations, interest, ledger, and filings.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Rev. Code §§ 1349.52–.521</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and resulting harm.</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Rev. Code §§ 1347.12; 1349.19</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notice, data elements, dates, investigation,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CSPA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Rev. Code §§ 1345.01–.13</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consumer transaction, supplier conduct, loss, prior authority, and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 fraud, deceptive collection conduct, security-freeze violations, breach-notification duties, and CSPA conduct factually distinct from CRA/furnisher reporting duties.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Ohio claims that attempt to impose accuracy, reinvestigation, or furnishing duties parallel to the FCRA.</w:t>
      </w:r>
      <w:r>
        <w:br w:type="page"/>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an Ohio complaint with the Attorney General or another regulator having jurisdiction;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AG / regulator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CSPA transaction and timing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Supplier, consumer transaction, challenged practice, loss, prior authority, and two-year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Ohio CSPA record: transaction, supplier, representation or practice, consumer loss, prior notice authority if enhanced relief is sought, and filing date.</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Ohio (OH)</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Ohio Consumer Sales Practices Act | Ohio Rev. Code §§ 1345.01–1345.13 | Remedies: rescission or actual economic damages; qualifying noneconomic damages, enhanced relief, and attorney’s fees under § 1345.09; Attorney General enforcement. | Authority: Ohio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Ohio Collection-Agency Assignment Requirements | Ohio Rev. Code § 1319.12 | Remedies: statutory compliance concerning assignments, venue, account identification, and attorney appearance; FDCPA remedies may apply separately. | Authority: courts / federal regulators.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Ohio Security Freeze Law | Ohio Rev. Code §§ 1349.52–1349.521 | Remedies: placement, lift, or removal of freezes; Attorney General injunctions and civil penalties. | Authority: Ohio Attorney General / courts.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Ohio Data-Breach Laws | Ohio Rev. Code §§ 1347.12 and 1349.19 | Remedies: notice and enforcement procedures for public-agency and private-sector breaches. | Authority: Ohio Attorney General / courts.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Ohio Identity Fraud | Ohio Rev. Code § 2913.49 | Remedies: criminal enforcement and restitution where ordered; federal identity-restoration procedures may apply separately.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Ohio Administrative Code consumer-protection rules — verify the current chapter and rule before filing or relying on a regulation.</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Ohio Attorney General — Consumer Protection Section: complaint intake and CSPA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Ohio Department of Commerce, Division of Financial Institutions: complaint and regulatory guidance for entities within its jurisdiction.</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CFPB and FTC: federal complaint and enforcement pathways where federal law applies.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controlling for credit-reporting disputes; verify any Ohio municipal provision before relying on it.</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Marrone v. Philip Morris USA,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110 Ohio St.3d 5, 2006-Ohio-2869, 850 N.E.2d 31</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Enhanced or class relief under § 1345.09(B) requires a substantially similar prior Attorney General rule or public Ohio decision.</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specific prior authority and compare the industry, transaction, and challenged conduct.</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Anderson v. Barclay’s Capital Real Estate,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136 Ohio St.3d 31, 2013-Ohio-1933, 989 N.E.2d 997</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Mortgage servicing is not a consumer transaction, and a servicer is not a supplier under the CSPA definitions addressed.</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origination from servicing, assignment, furnishing, foreclosure, and collection conduct.</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Taylor v. First Resolution Investment Corp.</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Ohio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2016</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148 Ohio St.3d 627, 2016-Ohio-3444, 71 N.E.3d 573</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 buyers and their attorneys may be subject to the CSPA; time-barred litigation or unlawful interest may support FDCPA/CSPA claims.</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complaint, assignment chain, agreement, limitations dates, interest calculation, balance, and service record.</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TK-Authority-2026-07-OH</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OH</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against official sources. Ohio statutes and cases were checked against current Ohio law and Supreme Court of Ohio materials; federal FCRA authorities were checked against current federal sources available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r>
        <w:br w:type="page"/>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lastRenderedPageBreak/>
        <w:t>This section uses an updated authority library for federal and Ohio consumer-protection law. Authorities may change. This material is educational and informational only and is not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Ohio Administrative Code citation by agency, chapter, rule, and paragraph.</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r>
        <w:br w:type="page"/>
      </w:r>
    </w:p>
    <w:p w14:paraId="5A489BC8" w14:textId="77777777" w:rsidR="00BD7EED" w:rsidRDefault="00BD7EED">
      <w:pPr>
        <w:keepLines/>
        <w:spacing w:before="40" w:after="0"/>
        <w:rPr>
          <w:rFonts w:ascii="Courier New" w:hAnsi="Courier New" w:cs="Courier New"/>
          <w:i/>
          <w:color w:val="464646"/>
          <w:sz w:val="22"/>
        </w:rPr>
      </w:pPr>
      <w:r>
        <w:lastRenderedPageBreak/>
        <w:t> </w:t>
      </w: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F99FD" w14:textId="77777777" w:rsidR="00ED562D" w:rsidRDefault="00ED562D">
      <w:pPr>
        <w:spacing w:after="0" w:line="240" w:lineRule="auto"/>
      </w:pPr>
      <w:r>
        <w:separator/>
      </w:r>
    </w:p>
  </w:endnote>
  <w:endnote w:type="continuationSeparator" w:id="0">
    <w:p w14:paraId="31B225AB" w14:textId="77777777" w:rsidR="00ED562D" w:rsidRDefault="00ED5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068B9" w14:textId="77777777" w:rsidR="00ED562D" w:rsidRDefault="00ED562D">
      <w:pPr>
        <w:spacing w:after="0" w:line="240" w:lineRule="auto"/>
      </w:pPr>
      <w:r>
        <w:separator/>
      </w:r>
    </w:p>
  </w:footnote>
  <w:footnote w:type="continuationSeparator" w:id="0">
    <w:p w14:paraId="483589DB" w14:textId="77777777" w:rsidR="00ED562D" w:rsidRDefault="00ED5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OHIO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3C44F0"/>
    <w:rsid w:val="00463F22"/>
    <w:rsid w:val="00566B6A"/>
    <w:rsid w:val="00655F05"/>
    <w:rsid w:val="006F27AD"/>
    <w:rsid w:val="00736F61"/>
    <w:rsid w:val="00756B19"/>
    <w:rsid w:val="00964317"/>
    <w:rsid w:val="00AA1D8D"/>
    <w:rsid w:val="00B47730"/>
    <w:rsid w:val="00BD7EED"/>
    <w:rsid w:val="00CB0664"/>
    <w:rsid w:val="00ED562D"/>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3770</Words>
  <Characters>21491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2026-07-24T17:54:00Z</dcterms:created>
  <dcterms:modified xsi:type="dcterms:W3CDTF">2026-07-24T17:54:00Z</dcterms:modified>
  <cp:category/>
</cp:coreProperties>
</file>