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Oregon (OR)</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Oregon Unlawful Trade Practices Act (UTPA)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Or. Rev. Stat. §§ 646.605 through 646.656</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specified unlawful business and trade practices, including deceptive or misleading representations and other conduct identified in ORS 646.607 and 646.608, when used in the course of a person’s business, vocation, or occupation.</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qualifying private claimant may seek actual damages or statutory damages of $200, whichever is greater, together with potentially available punitive, equitable, cost, and attorney-fee relief under ORS 646.638. A prosecuting attorney may seek injunctions, restitution, cessation orders, and civil penalties under ORS 646.632, 646.636, and 646.642.</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A person who suffers an ascertainable loss of money or property as a result of another person’s willful use of a practice declared unlawful under ORS 646.608 may bring an individual action under ORS 646.638. The action generally must be commenced within one year after discovery of the unlawful method, act, or practice. A qualifying public-enforcement complaint tolls the private limitation period while the public proceeding is pending.</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Oregon Department of Justice — Consumer Protection Section. The Attorney General and district attorneys may investigate and enforce the UTPA under ORS 646.618 and 646.632. A private settlement does not automatically terminate the state’s independent public-enforcement authority.</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Oregon unlawful-collection standards and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Overview: ORS 646.639 prohibits specified collection conduct involving consumer debts, including harassment, false or misleading representations, unauthorized charges, and other listed practices. ORS 646.641 provides a private civil remedy for a person injured by willful use of an unlawful collection practice. The federal Fair Debt Collection Practices Act remains separately applicable to qualifying collectors.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Or. Rev. Stat. §§ 646.639 through 646.641;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Oregon Department of Justice — Consumer Protection Section; Oregon Department of Consumer and Business Services where regulated financial or debt-buyer activity is involved;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No broad Oregon analogue to the federal FCRA governing general accuracy and reinvestigation duties was identified for this module. Oregon’s Consumer Information Protection Act provides security-freeze, breach-notification, and information-safeguard protections. Federal FCRA procedures remain the primary credit-reporting framework.</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Oregon consumers and qualifying representatives may request placement, temporary lifting, or removal of a security freeze under Or. Rev. Stat. §§ 646A.606 through 646A.618. ORS 646A.610 prohibits consumer-reporting agencies from charging specified freeze-related fees.</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FCRA and use Oregon security-freeze procedures to restrict specified releases of consumer reports. A freeze does not block every use described in ORS 646A.614.</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Following a reasonable reinvestigation, the agency must delete or modify the item as appropriate. Oregon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Oregon supplements identity protection through its security-freeze, identity-theft, breach-notification, and information-safeguard provisions.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Oregon’s Consumer Information Protection Act is principally enforced by the Director of the Department of Consumer and Business Services and the Attorney General under ORS 646A.624. Security-freeze and breach matters should be evaluated for the specific statutory remedy and enforcement route.</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lastRenderedPageBreak/>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Furnisher duties after CRA notice: When an identifiable person furnished the disputed information and receives notice from the consumer reporting agency under 15 U.S.C. § 1681i(a)(2), 15 U.S.C. § 1681s-2(b)(1) generally requires investigation, review of relevant </w:t>
      </w:r>
      <w:r w:rsidRPr="00566B6A">
        <w:rPr>
          <w:rFonts w:ascii="Courier New" w:hAnsi="Courier New" w:cs="Courier New"/>
          <w:bCs/>
          <w:sz w:val="22"/>
        </w:rPr>
        <w:lastRenderedPageBreak/>
        <w:t>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Or. Rev. Stat. § 165.800 criminalizes identity theft involving the use, transfer, or possession of another person’s personal identification with the intent to deceive or defraud, subject to statutory terms and exceptions.</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Identity-restoration record: Oregon’s cited criminal statute does not itself create a general factual-innocence declaration procedure for credit files. Preserve police and FTC identity-theft reports, freeze confirmations, creditor notices, and federal FCRA blocking records.</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lastRenderedPageBreak/>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Or. Rev. Stat. § 646A.604 requires a covered entity or vendor to notify affected Oregon consumers after a qualifying breach of security, subject to the statute’s risk, timing, law-enforcement-delay, content, and substitute-notice provisions.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Oregon’s security-freeze, breach-notification, Social Security number, and information-safeguard provisions are codified in the Oregon Consumer Information Protection Act at Or. Rev. Stat. §§ 646A.600 through 646A.628.</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Oregon also maintains broader consumer-personal-data protections in ORS 646A.570 and following, but this module focuses on credit-report, identity-theft, security-freeze, and breach procedures. Sector-specific state and federal privacy rules may also apply.</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Oregon Attorney General: Oregon Department of Justice — Consumer Protection Section — consumer complaint intake, investigative demands, assurances of voluntary compliance, and UTPA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Oregon Department of Consumer and Business Services: Regulatory and complaint pathways for financial institutions, debt buyers, and other entities within the Department’s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Oregon Division of Financial Regulation: Complaint intake and regulatory review for insurers, financial services, and licensed nondepository entities as jurisdiction permits.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Oregon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 Rev. Stat. §§ 646.605–646.656</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UTPA — unlawful and deceptive business or trade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Private actual or $200 statutory damages; possible punitive/equitable/fee relief; public injunction, restitution, and penalties</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Representation; transaction; willfulness; ascertainable loss; causation; discovery date; AG mailing record</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 Rev. Stat. §§ 646.639–646.641</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Unlawful collection practices involving consumer debts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Injunction; actual damages or $1,000, whichever is greater; possible punitive/equitable/fee relief</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consumer transaction; communications; disputed amount; injury; three-year timing</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 Rev. Stat. §§ 646A.606–646A.618</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 freezes, protective records, permitted uses, lifting, and removal</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specified freeze fees; administrative and public enforcement under § 646A.624</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identification; access request; release record; lift/removal request; response timing</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 Rev. Stat. §§ 646A.600–646A.628</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Security-breach notice, Social Security number limits, and information safeguards</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Administrative investigation, civil penalties, and other authorized public enforcement</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risk assessment; delivery method; safeguard and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 Rev. Stat. § 165.800</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involving another person’s personal identification</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enforcement and restitution where ordered; federal restoration procedures may apply separately</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affidavit; creditor and bureau notices; transaction and device records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Oregon DOJ — Consumer Protection Section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intake, investigation, assurances of voluntary compliance, and UTPA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Mediation, investigative demands, voluntary compliance, or civil enforcement as authorized</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settlement terms; agency response; chronology; continued public-enforcement status</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Oregon DCBS / Division of Financial Regulation</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Regulated financial institutions, debt buyers, insurers, and licensed financial-service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Jurisdictional review, licensing, examination, investigation, and administrative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regulatory correspondence; examination or order records</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Oregon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 xml:space="preserve">Direct-furnisher dispute exception for identifying information, addresses, telephone </w:t>
            </w:r>
            <w:r w:rsidRPr="00566B6A">
              <w:rPr>
                <w:rFonts w:ascii="Courier New" w:hAnsi="Courier New" w:cs="Courier New"/>
                <w:sz w:val="22"/>
              </w:rPr>
              <w:lastRenderedPageBreak/>
              <w:t>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Routes the primary identifying-information dispute to the consumer reporting agency; CRA-to-furnisher duties may </w:t>
            </w:r>
            <w:r w:rsidRPr="00566B6A">
              <w:rPr>
                <w:rFonts w:ascii="Courier New" w:hAnsi="Courier New" w:cs="Courier New"/>
                <w:sz w:val="22"/>
              </w:rPr>
              <w:lastRenderedPageBreak/>
              <w:t>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Oregon (OR)</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is an Oregon Court of Appeals case applying Oregon’s unlawful collection statutes; it should be used only for the specific statutory principles described.</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Pearson v. Philip Morris, Inc.</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358 Or. 88, 361 P.3d 3</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that a private UTPA claimant must establish an objectively verifiable ascertainable economic loss and causation. Whether reliance is necessary depends on the nature of the unlawful practice and the loss theory asserted.</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exact representation, transaction, economic loss, and causal pathway; preserve receipts, advertisements, product or account records, and evidence showing how the challenged practice produced the loss.</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Clark v. Eddie Bauer LLC</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2023</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371 Or. 177, 532 P.3d 880</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an ascertainable loss may arise when a consumer would not have purchased an item at the price paid but for a retailer’s misrepresentation about price history or comparative price, even without a misrepresentation about quality.</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price tags, advertisements, receipts, actual price history, comparison-price evidence, and documentation showing that the representation affected the purchase decision.</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Creditors Protective Ass’n v. Britt</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 Ct. App.</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1982</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58 Or. App. 230, 648 P.2d 414</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Under ORS 646.641, an injured debtor need not prove loss of money or property to seek the statutory minimum; emotional upset from unlawful telephone collection conduct may constitute injury when supported by evidence.</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call logs, recordings, messages, collector identity, dates, frequency, content, witness statements, medical or emotional-impact records where applicable, and the three-year filing timeline.</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Pearson v. Philip Morris, Inc.</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358 Or. 88, 361 P.3d 3</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that a private UTPA claimant must establish an objectively verifiable ascertainable economic loss and causation. Whether reliance is necessary depends on the nature of the unlawful practice and the loss theory asserted.</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exact representation, transaction, economic loss, and causal pathway; preserve receipts, advertisements, product or account records, and evidence showing how the challenged practice produced the loss.</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Clark v. Eddie Bauer LLC</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2023</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371 Or. 177, 532 P.3d 880</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an ascertainable loss may arise when a consumer would not have purchased an item at the price paid but for a retailer’s misrepresentation about price history or comparative price, even without a misrepresentation about quality.</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price tags, advertisements, receipts, actual price history, comparison-price evidence, and documentation showing that the representation affected the purchase decision.</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Creditors Protective Ass’n v. Britt</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 Ct. App.</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1982</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58 Or. App. 230, 648 P.2d 414</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Under ORS 646.641, an injured debtor need not prove loss of money or property to seek the statutory minimum; emotional upset from unlawful telephone collection conduct may constitute injury when supported by evidence.</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call logs, recordings, messages, collector identity, dates, frequency, content, witness statements, medical or emotional-impact records where applicable, and the three-year filing timeline.</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Oregon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Oregon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broad Oregon mini-FCRA identified; ORS 646A.600–628 addresses freeze, breach, and safeguards</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 and method-of-verification records; avoid pleading parallel Oregon reporting duties without specific authority.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Oregon law evaluated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framework and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 Rev. Stat. § 165.800; ORS 646A.600–628</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identity-theft reports, freeze requests, breach records, and federal blocking submissions.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 Rev. Stat. §§ 646.639–646.641;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communications, collector identity, consumer-transaction proof, disputed amounts, injury evidence, and regulator complaints.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 Rev. Stat. §§ 646A.606–646A.618</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access history, lift/removal requests, response timing, notice, and resulting harm.</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 Rev. Stat. §§ 646A.600–646A.628</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data elements, dates, risk assessment, safeguard records, remediation, and regulator complaint.</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UTPA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 Rev. Stat. §§ 646.605–646.656</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distinct business or trade practice, willfulness, ascertainable economic loss, causation, discovery date, and timely filing.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identity-theft conduct, deceptive collection communications, security-freeze violations, breach-notification and safeguard duties, and UTPA transaction or advertising deception that is factually distinct from CRA/furnisher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w:t>
      </w:r>
      <w:r w:rsidRPr="00566B6A">
        <w:rPr>
          <w:rFonts w:ascii="Courier New" w:hAnsi="Courier New" w:cs="Courier New"/>
          <w:sz w:val="22"/>
        </w:rPr>
        <w:t xml:space="preserve"> Oregon claims that attempt to impose accuracy, reinvestigation, or furnishing duties parallel to the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lastRenderedPageBreak/>
        <w:t xml:space="preserve">Step 5 — </w:t>
      </w:r>
      <w:r w:rsidRPr="00566B6A">
        <w:rPr>
          <w:rFonts w:ascii="Courier New" w:hAnsi="Courier New" w:cs="Courier New"/>
          <w:sz w:val="22"/>
        </w:rPr>
        <w:t>File an Oregon complaint with the Department of Justice, Department of Consumer and Business Services, or Division of Financial Regulation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Oregon DOJ / DCBS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UTPA complaint-mailing proof + discovery-date record</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Willfulness, ascertainable loss, causation, Attorney General notice, and one-year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Oregon UTPA complaint notice and evidence record when a qualifying transaction, ascertainable economic loss, causation, willfulness, and one-year discovery period are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Oregon (OR)</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Oregon Unlawful Trade Practices Act (UTPA) | </w:t>
      </w:r>
      <w:r w:rsidRPr="00566B6A">
        <w:rPr>
          <w:rFonts w:ascii="Courier New" w:hAnsi="Courier New" w:cs="Courier New"/>
          <w:sz w:val="22"/>
        </w:rPr>
        <w:t>Or. Rev. Stat. §§ 646.605 through 646.656 | Remedies: actual damages or $200 statutory damages, whichever is greater; potentially available punitive, equitable, cost, and attorney-fee relief; Attorney General or district-attorney injunctive, restorative, and civil-penalty enforcement. | Authority: Oregon Department of Justice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Oregon Unlawful Collection Practices | </w:t>
      </w:r>
      <w:r w:rsidRPr="00566B6A">
        <w:rPr>
          <w:rFonts w:ascii="Courier New" w:hAnsi="Courier New" w:cs="Courier New"/>
          <w:sz w:val="22"/>
        </w:rPr>
        <w:t>Or. Rev. Stat. §§ 646.639 through 646.641 | Remedies: injunction; actual damages or $1,000, whichever is greater; potentially available punitive, equitable, cost, and attorney-fee relief; three-year period from injury under § 646.641(3). | Authority: courts / Oregon Department of Justice.</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Oregon Security Freeze Law | </w:t>
      </w:r>
      <w:r w:rsidRPr="00566B6A">
        <w:rPr>
          <w:rFonts w:ascii="Courier New" w:hAnsi="Courier New" w:cs="Courier New"/>
          <w:sz w:val="22"/>
        </w:rPr>
        <w:t>Or. Rev. Stat. §§ 646A.606 through 646A.618 | Remedies: placement, temporary lifting, and removal of freezes; no specified consumer freeze fees under § 646A.610; administrative and public enforcement under § 646A.624. | Authority: Department of Consumer and Business Services / Attorney General.</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Oregon Consumer Information Protection Act | </w:t>
      </w:r>
      <w:r w:rsidRPr="00566B6A">
        <w:rPr>
          <w:rFonts w:ascii="Courier New" w:hAnsi="Courier New" w:cs="Courier New"/>
          <w:sz w:val="22"/>
        </w:rPr>
        <w:t>Or. Rev. Stat. §§ 646A.600 through 646A.628 | Remedies: breach notification, information safeguards, administrative investigation, civil penalties, and other authorized public enforcement. | Authority: Department of Consumer and Business Services / Oregon Attorney General.</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Oregon Identity Theft | </w:t>
      </w:r>
      <w:r w:rsidRPr="00566B6A">
        <w:rPr>
          <w:rFonts w:ascii="Courier New" w:hAnsi="Courier New" w:cs="Courier New"/>
          <w:sz w:val="22"/>
        </w:rPr>
        <w:t>Or. Rev. Stat. § 165.800 | Remedies: criminal enforcement and restitution where ordered; credit-file restoration and blocking procedures may also arise under federal FCRA law.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Oregon Administrative Rules — </w:t>
      </w:r>
      <w:r w:rsidRPr="00566B6A">
        <w:rPr>
          <w:rFonts w:ascii="Courier New" w:hAnsi="Courier New" w:cs="Courier New"/>
          <w:sz w:val="22"/>
        </w:rPr>
        <w:t>consult current Department of Justice and Department of Consumer and Business Services rules governing UTPA enforcement, financial regulation, debt buying, information security, and complaint procedures. Verify the exact division and rule before filing or relying on a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Oregon Department of Justice — Consumer Protection Section: </w:t>
      </w:r>
      <w:r w:rsidRPr="00566B6A">
        <w:rPr>
          <w:rFonts w:ascii="Courier New" w:hAnsi="Courier New" w:cs="Courier New"/>
          <w:sz w:val="22"/>
        </w:rPr>
        <w:t>consumer complaint intake, investigative-demand, assurance-of-voluntary-compliance, and UTPA enforcement guidance. Private settlement does not automatically eliminate independent state enforcement authority.</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Oregon Department of Consumer and Business Services: </w:t>
      </w:r>
      <w:r w:rsidRPr="00566B6A">
        <w:rPr>
          <w:rFonts w:ascii="Courier New" w:hAnsi="Courier New" w:cs="Courier New"/>
          <w:sz w:val="22"/>
        </w:rPr>
        <w:t>regulatory and complaint guidance for security, data, debt-buyer, and financial-services matters within its jurisdiction.</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Oregon Division of Financial Regulation: </w:t>
      </w:r>
      <w:r w:rsidRPr="00566B6A">
        <w:rPr>
          <w:rFonts w:ascii="Courier New" w:hAnsi="Courier New" w:cs="Courier New"/>
          <w:sz w:val="22"/>
        </w:rPr>
        <w:t>consumer complaint pathway for regulated financial institutions, insurance entities, and licensed financial-service providers.</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Oregon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Pearson v. Philip Morris, Inc.</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358 Or. 88, 361 P.3d 3</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that a private UTPA claimant must establish an objectively verifiable ascertainable economic loss and causation. Whether reliance is necessary depends on the nature of the unlawful practice and the loss theory asserted.</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exact representation, transaction, economic loss, and causal pathway; preserve receipts, advertisements, product or account records, and evidence showing how the challenged practice produced the loss.</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Clark v. Eddie Bauer LLC</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2023</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371 Or. 177, 532 P.3d 880</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an ascertainable loss may arise when a consumer would not have purchased an item at the price paid but for a retailer’s misrepresentation about price history or comparative price, even without a misrepresentation about quality.</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price tags, advertisements, receipts, actual price history, comparison-price evidence, and documentation showing that the representation affected the purchase decision.</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Creditors Protective Ass’n v. Britt</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 Ct. App.</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1982</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58 Or. App. 230, 648 P.2d 414</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Under ORS 646.641, an injured debtor need not prove loss of money or property to seek the statutory minimum; emotional upset from unlawful telephone collection conduct may constitute injury when supported by evidence.</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call logs, recordings, messages, collector identity, dates, frequency, content, witness statements, medical or emotional-impact records where applicable, and the three-year filing timeline.</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TK-Authority-2026-07-OR</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OR</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Oregon statutory references in this version were checked against the Oregon Legislative Assembly’s current online chapter text and 2026 update notices. State case citations were checked against Oregon Judicial Department opinions and official Oregon statutory annotations. Federal FCRA authorities were checked against the Office of the Law Revision Counsel U.S. Code and current Regulation V materials available on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Oregon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Oregon administrative rule citation by agency, division, and rule number.</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sectPr w:rsidR="00756B19"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53E99" w14:textId="77777777" w:rsidR="00034D95" w:rsidRDefault="00034D95">
      <w:pPr>
        <w:spacing w:after="0" w:line="240" w:lineRule="auto"/>
      </w:pPr>
      <w:r>
        <w:separator/>
      </w:r>
    </w:p>
  </w:endnote>
  <w:endnote w:type="continuationSeparator" w:id="0">
    <w:p w14:paraId="3201CD5F" w14:textId="77777777" w:rsidR="00034D95" w:rsidRDefault="00034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8E35D" w14:textId="77777777" w:rsidR="00034D95" w:rsidRDefault="00034D95">
      <w:pPr>
        <w:spacing w:after="0" w:line="240" w:lineRule="auto"/>
      </w:pPr>
      <w:r>
        <w:separator/>
      </w:r>
    </w:p>
  </w:footnote>
  <w:footnote w:type="continuationSeparator" w:id="0">
    <w:p w14:paraId="1BB17351" w14:textId="77777777" w:rsidR="00034D95" w:rsidRDefault="00034D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OREGON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34D95"/>
    <w:rsid w:val="0006063C"/>
    <w:rsid w:val="000C26BB"/>
    <w:rsid w:val="0015074B"/>
    <w:rsid w:val="0029639D"/>
    <w:rsid w:val="00326F90"/>
    <w:rsid w:val="00463F22"/>
    <w:rsid w:val="00566B6A"/>
    <w:rsid w:val="00655F05"/>
    <w:rsid w:val="006F27AD"/>
    <w:rsid w:val="00736F61"/>
    <w:rsid w:val="00756B19"/>
    <w:rsid w:val="009271DA"/>
    <w:rsid w:val="00964317"/>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4758</Words>
  <Characters>27124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31819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2026-07-24T18:16:00Z</dcterms:created>
  <dcterms:modified xsi:type="dcterms:W3CDTF">2026-07-24T18:16:00Z</dcterms:modified>
  <cp:category/>
</cp:coreProperties>
</file>