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Pennsylvania (PA)</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Pennsylvania Unfair Trade Practices and Consumer Protection Law (UTPCPL)</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73 P.S. §§ 201-1 through 201-9.3</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methods of competition and unfair or deceptive acts or practices in trade or commerce, including enumerated practices and deceptive conduct creating a likelihood of confusion or misunderstanding.</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private plaintiff may recover actual damages or $100, whichever is greater; the court may award up to three times actual damages and reasonable attorney’s fees. The Attorney General may seek injunctions, restitution, civil penalties, and other authorized relief.</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Available under 73 P.S. § 201-9.2 to a purchaser or lessee of goods or services primarily for personal, family, or household purposes who suffers an ascertainable loss as a result of unlawful conduct. Private plaintiffs must document justifiable reliance and causation. UTPCPL claims generally use Pennsylvania’s six-year residual limitations period under 42 Pa.C.S. § 5527(b).</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Pennsylvania Office of Attorney General — Bureau of Consumer Protection.</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Pennsylvania creditor and debt-collector conduct under the FCEUA and applicable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 xml:space="preserve">Overview: The Pennsylvania Fair Credit Extension Uniformity Act (FCEUA) identifies unfair or deceptive debt-collection practices by debt collectors and creditors. A debt collector’s FDCPA </w:t>
      </w:r>
      <w:r w:rsidRPr="00566B6A">
        <w:rPr>
          <w:rFonts w:ascii="Courier New" w:hAnsi="Courier New" w:cs="Courier New"/>
          <w:bCs/>
          <w:sz w:val="22"/>
        </w:rPr>
        <w:lastRenderedPageBreak/>
        <w:t>violation is also a FCEUA violation; creditor conduct is governed by the specific prohibitions in the Act.</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73 P.S. §§ 2270.1 through 2270.6;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Pennsylvania Office of Attorney General — Bureau of Consumer Protection; Pennsylvania Department of Banking and Securities where applicable;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Pennsylvania’s Credit Reporting Agency Act primarily governs security freezes and related identity-theft protections; it is not a broad state analogue to the federal FCRA’s general accuracy and reinvestigation duties. Federal FCRA procedures remain the primary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Pennsylvania consumers may request placement, temporary lifting, or removal of a security freeze under 73 P.S. §§ 2501 through 2510, subject to the Act’s procedures and exceptions.</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may use Pennsylvania security-freeze procedures to control certain releases of credit reports.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Pennsylvania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Pennsylvania supplements identity-restoration through its identity-theft, restitution, civil-damages, and security-freeze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Under 73 P.S. § 2510, a violation of the Credit Reporting Agency Act is deemed an unfair or deceptive practice, but the Pennsylvania Office of Attorney General has exclusive authority to bring the statutory UTPCPL enforcement action. Federal FCRA remedies may apply separately.</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w:t>
      </w:r>
      <w:r w:rsidRPr="00566B6A">
        <w:rPr>
          <w:rFonts w:ascii="Courier New" w:hAnsi="Courier New" w:cs="Courier New"/>
          <w:bCs/>
          <w:sz w:val="22"/>
        </w:rPr>
        <w:lastRenderedPageBreak/>
        <w:t>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18 Pa.C.S. § 4120 criminalizes possession or use of another person’s identifying information without consent to further an unlawful purpose.</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Restitution and civil relief: 18 Pa.C.S. § 1107.1 authorizes restitution for qualifying identity-theft correction expenses, and 42 Pa.C.S. § 8315 authorizes civil damages, attorney’s fees, costs, and other appropriate relief in qualifying identity-theft actions.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Pennsylvania’s Breach of Personal Information Notification Act requires covered entities to notify affected Pennsylvania residents of qualifying breaches without unreasonable delay, subject to statutory exceptions; notice to the Attorney General is required when more than 500 Pennsylvania individuals are affected.</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Act range: The Breach of Personal Information Notification Act is codified at 73 P.S. §§ 2301 through 2329.</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Privacy rights: No general omnibus Pennsylvania consumer-data privacy law was identified as enacted for this module; sector-specific Pennsylvania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Attorney General and consumer-reporting-agency notices, law-enforcement delay requests, credit-monitoring offers,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Pennsylvania Office of Attorney General: Bureau of Consumer Protection — consumer complaint intake and UTPCPL/FCEUA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Pennsylvania Department of Banking and Securities: Complaint review for regulated financial institutions, licensees, and financial services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Pennsylvania Office of Attorney General: Identity-theft, data-breach, and consumer-fraud complaint and educational resources.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Pennsylvania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73 P.S. §§ 201-1–201-9.3</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UTPCPL — unfair or deceptive consumer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or $100; discretionary treble damages and fees; AG injunction, restitution, and civil penalties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proof; representation; justifiable reliance; ascertainable loss; causation</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73 P.S. §§ 2270.1–2270.6</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Creditor and debt-collector conduct</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UTPCPL remedies and enforcement; FDCPA remedies may apply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Collector/creditor identity; letters; call logs; disputes; payment and loss records</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73 P.S. §§ 2501–2510</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and related procedures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General-exclusive statutory enforcement under § 2510; federal remedies may apply separately</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access request; lift/removal record; notice and correction trail</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73 P.S. §§ 2301–2329</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AG/CRA notice, and specified monitoring</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General-exclusive statutory enforcement; required notice and qualifying no-cost services</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regulator notices; monitoring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18 Pa.C.S. §§ 4120, 1107.1; 42 Pa.C.S. § 8315</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restitution; civil damages</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and restitution; actual or statutory-minimum damages, fees, costs, and additional relief</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credit-correction costs; creditor and bureau notices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Pennsylvania OAG — Bureau of Consumer Protection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UTPCPL/FCEUA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voluntary compliance,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Pennsylvania OAG / Department of Banking and Securities</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protection and regulated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and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Pennsylvania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Personal identifiers and employer information in the consumer file; disclosure, accuracy, reinvestigation, </w:t>
            </w:r>
            <w:r w:rsidRPr="00566B6A">
              <w:rPr>
                <w:rFonts w:ascii="Courier New" w:hAnsi="Courier New" w:cs="Courier New"/>
                <w:sz w:val="22"/>
              </w:rPr>
              <w:lastRenderedPageBreak/>
              <w:t>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Free reasonable reinvestigation; revised report; prompt deletion or modification of inaccurate, incomplete, or unverifiable </w:t>
            </w:r>
            <w:r w:rsidRPr="00566B6A">
              <w:rPr>
                <w:rFonts w:ascii="Courier New" w:hAnsi="Courier New" w:cs="Courier New"/>
                <w:sz w:val="22"/>
              </w:rPr>
              <w:lastRenderedPageBreak/>
              <w:t>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Pennsylvania (PA)</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 precedential Third Circuit case applying the federal FDCPA and Pennsylvania’s FCEUA/UTPCPL framework; it should not be described as a Pennsylvania Supreme Court decision or as eliminating the private-action requirements of the UTPCPL.</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Weinberg v. Sun Co.,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2001</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777 A.2d 442 (Pa. 2001)</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Requires a private UTPCPL plaintiff to prove justifiable reliance and an ascertainable loss caused by the challenged practice; alleged deceptive advertising alone does not dispense with reliance and causation.</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exposure to the representation, the purchasing decision, justifiable reliance, payment, and a measurable loss tied to the challenged conduct.</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Gregg v. Ameriprise Financial, Inc.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2021</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245 A.3d 637 (Pa. 2021)</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Holds that deceptive conduct under the UTPCPL catch-all does not require proof of the vendor’s state of mind, while a private plaintiff still must establish justifiable reliance, causation, and financial detriment.</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objective deceptive conduct from the private-action elements; preserve sales statements, applications, disclosures, contracts, payments, and loss calculations.</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Kaymark v. Bank of America, N.A.</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 Ct. App. 3d Cir.</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783 F.3d 168 (3d Cir. 2015)</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listing not-yet-incurred foreclosure fees could state FDCPA misrepresentation and unauthorized-fee claims, but affirmed dismissal of the FCEUA/UTPCPL claim because no ascertainable loss was adequately alleged.</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complaints, notices, payoff statements, fee itemizations, contract authority, proof of payment or other actual loss, and the collector-or-creditor classification.</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Weinberg v. Sun Co.,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2001</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777 A.2d 442 (Pa. 2001)</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Requires a private UTPCPL plaintiff to prove justifiable reliance and an ascertainable loss caused by the challenged practice; alleged deceptive advertising alone does not dispense with reliance and causation.</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exposure to the representation, the purchasing decision, justifiable reliance, payment, and a measurable loss tied to the challenged conduct.</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Gregg v. Ameriprise Financial, Inc.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2021</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245 A.3d 637 (Pa. 2021)</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Holds that deceptive conduct under the UTPCPL catch-all does not require proof of the vendor’s state of mind, while a private plaintiff still must establish justifiable reliance, causation, and financial detriment.</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objective deceptive conduct from the private-action elements; preserve sales statements, applications, disclosures, contracts, payments, and loss calculations.</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Kaymark v. Bank of America, N.A.</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 Ct. App. 3d Cir.</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783 F.3d 168 (3d Cir. 2015)</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listing not-yet-incurred foreclosure fees could state FDCPA misrepresentation and unauthorized-fee claims, but affirmed dismissal of the FCEUA/UTPCPL claim because no ascertainable loss was adequately alleged.</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complaints, notices, payoff statements, fee itemizations, contract authority, proof of payment or other actual loss, and the collector-or-creditor classification.</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lastRenderedPageBreak/>
        <w:t>Educational summary: Federal law generally governs CRA and furnisher duties concerning accuracy, reinvestigation, dispute processing, and reporting. Pennsylvania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Pennsylvania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Pennsylvania Credit Reporting Agency Act addresses security freezes; no broad state accuracy/reinvestigation analogue identified</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 avoid pleading parallel Pennsylvania reporting duties without specific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Pennsylvania law evaluated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framework and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18 Pa.C.S. § 4120; 18 Pa.C.S. § 1107.1; 42 Pa.C.S. § 8315</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identity-theft reports, restitution/civil-damages records,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73 P.S. §§ 2270.1–2270.6;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communications, disputes, creditor/debt-collector status, actual loss, and OAG/CFPB complaint records.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73 P.S. §§ 2501–2510</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access or lift history, notice, correction request, resulting harm, and Attorney General complaint.</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73 P.S. §§ 2301–2329</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Attorney General/CRA notices, monitoring offer,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UTPCPL, 73 P.S. §§ 201-1–201-9.3</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qualifying consumer transaction, deceptive conduct, justifiable reliance, ascertainable loss, causation, and timeliness.</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identity-theft conduct, deceptive collection communications, security-freeze violations, breach-notification duties, and UTPCPL consumer-transaction deception that is factually distinct from CRA/furnisher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Pennsylvania claims that attempt to impose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 Pennsylvania complaint with the Office of Attorney General or Department of Banking and Securities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lastRenderedPageBreak/>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Pennsylvania OAG / Banking and Securities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UTPCPL reliance chronology + loss proof</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conduct, justifiable reliance, ascertainable loss, causation,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UTPCPL representation, justifiable-reliance, ascertainable-loss, and causation chronology when a qualifying consumer transaction is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FCEUA / FDCPA collector-or-creditor classification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Pennsylvania (PA)</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Pennsylvania Unfair Trade Practices and Consumer Protection Law (UTPCPL) | </w:t>
      </w:r>
      <w:r w:rsidRPr="00566B6A">
        <w:rPr>
          <w:rFonts w:ascii="Courier New" w:hAnsi="Courier New" w:cs="Courier New"/>
          <w:sz w:val="22"/>
        </w:rPr>
        <w:t>73 P.S. §§ 201-1 through 201-9.3 | Remedies: actual damages or $100, discretionary treble damages, and reasonable attorney’s fees for qualifying private claims; Attorney General injunctive, restitutionary, and civil-penalty relief. | Authority: Pennsylvania Office of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Pennsylvania Fair Credit Extension Uniformity Act (FCEUA) | </w:t>
      </w:r>
      <w:r w:rsidRPr="00566B6A">
        <w:rPr>
          <w:rFonts w:ascii="Courier New" w:hAnsi="Courier New" w:cs="Courier New"/>
          <w:sz w:val="22"/>
        </w:rPr>
        <w:t>73 P.S. §§ 2270.1 through 2270.6 | Remedies: prohibited debt-collection conduct is treated as a UTPCPL violation; private enforcement proceeds through the UTPCPL and requires its elements. | Authority: Pennsylvania Office of Attorney General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Pennsylvania Credit Reporting Agency Act | </w:t>
      </w:r>
      <w:r w:rsidRPr="00566B6A">
        <w:rPr>
          <w:rFonts w:ascii="Courier New" w:hAnsi="Courier New" w:cs="Courier New"/>
          <w:sz w:val="22"/>
        </w:rPr>
        <w:t>73 P.S. §§ 2501 through 2510 | Remedies: security-freeze placement, access, lift, removal, confirmation, and change-notice procedures; the Attorney General has exclusive statutory UTPCPL enforcement authority under § 2510. | Authority: Pennsylvania Office of Attorney General / consumer reporting agencies.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Pennsylvania Breach of Personal Information Notification Act | </w:t>
      </w:r>
      <w:r w:rsidRPr="00566B6A">
        <w:rPr>
          <w:rFonts w:ascii="Courier New" w:hAnsi="Courier New" w:cs="Courier New"/>
          <w:sz w:val="22"/>
        </w:rPr>
        <w:t>73 P.S. §§ 2301 through 2329 | Remedies: breach notice, specified Attorney General and consumer-reporting-agency notices, and qualifying no-cost credit reporting/monitoring; the Attorney General has exclusive statutory UTPCPL enforcement authority. | Authority: Pennsylvania Office of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Pennsylvania Identity-Theft and Restoration Provisions | </w:t>
      </w:r>
      <w:r w:rsidRPr="00566B6A">
        <w:rPr>
          <w:rFonts w:ascii="Courier New" w:hAnsi="Courier New" w:cs="Courier New"/>
          <w:sz w:val="22"/>
        </w:rPr>
        <w:t>18 Pa.C.S. §§ 4120 and 1107.1; 42 Pa.C.S. § 8315 | Remedies: criminal penalties, restitution for correction expenses, civil damages, attorney’s fees, costs, and other appropriate relief where statutory requirements are met.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37 Pa. Code Chapter 311 — </w:t>
      </w:r>
      <w:r w:rsidRPr="00566B6A">
        <w:rPr>
          <w:rFonts w:ascii="Courier New" w:hAnsi="Courier New" w:cs="Courier New"/>
          <w:sz w:val="22"/>
        </w:rPr>
        <w:t>Pennsylvania unfair market trade practices regulations administered through the Bureau of Consumer Protection. Verify the current section applicable to the transaction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Pennsylvania Office of Attorney General — Bureau of Consumer Protection: </w:t>
      </w:r>
      <w:r w:rsidRPr="00566B6A">
        <w:rPr>
          <w:rFonts w:ascii="Courier New" w:hAnsi="Courier New" w:cs="Courier New"/>
          <w:sz w:val="22"/>
        </w:rPr>
        <w:t>consumer complaint intake and UTPCPL/FCEUA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Pennsylvania Department of Banking and Securities: </w:t>
      </w:r>
      <w:r w:rsidRPr="00566B6A">
        <w:rPr>
          <w:rFonts w:ascii="Courier New" w:hAnsi="Courier New" w:cs="Courier New"/>
          <w:sz w:val="22"/>
        </w:rPr>
        <w:t>consumer complaint procedures for regulated institutions, licensees, and financial services within its jurisdiction.</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Pennsylvania Office of Attorney General: </w:t>
      </w:r>
      <w:r w:rsidRPr="00566B6A">
        <w:rPr>
          <w:rFonts w:ascii="Courier New" w:hAnsi="Courier New" w:cs="Courier New"/>
          <w:sz w:val="22"/>
        </w:rPr>
        <w:t>identity-theft, data-breach, and consumer-fraud guidance and complaint resources.</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Pennsylvania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Weinberg v. Sun Co.,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2001</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777 A.2d 442 (Pa. 2001)</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Requires a private UTPCPL plaintiff to prove justifiable reliance and an ascertainable loss caused by the challenged practice; alleged deceptive advertising alone does not dispense with reliance and causation.</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exposure to the representation, the purchasing decision, justifiable reliance, payment, and a measurable loss tied to the challenged conduct.</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Gregg v. Ameriprise Financial, Inc.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2021</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245 A.3d 637 (Pa. 2021)</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Holds that deceptive conduct under the UTPCPL catch-all does not require proof of the vendor’s state of mind, while a private plaintiff still must establish justifiable reliance, causation, and financial detriment.</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objective deceptive conduct from the private-action elements; preserve sales statements, applications, disclosures, contracts, payments, and loss calculations.</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Kaymark v. Bank of America, N.A.</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 Ct. App. 3d Cir.</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783 F.3d 168 (3d Cir. 2015)</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listing not-yet-incurred foreclosure fees could state FDCPA misrepresentation and unauthorized-fee claims, but affirmed dismissal of the FCEUA/UTPCPL claim because no ascertainable loss was adequately alleged.</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complaints, notices, payoff statements, fee itemizations, contract authority, proof of payment or other actual loss, and the collector-or-creditor classification.</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TK-Authority-2026-07-PA</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lastRenderedPageBreak/>
        <w:t>Last Updated Date:</w:t>
      </w:r>
      <w:r w:rsidRPr="00566B6A">
        <w:rPr>
          <w:rFonts w:ascii="Courier New" w:hAnsi="Courier New" w:cs="Courier New"/>
          <w:sz w:val="22"/>
        </w:rPr>
        <w:t xml:space="preserve"> July 23,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PA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Pennsylvania statutory references in this version were checked against the Pennsylvania General Assembly’s current publications. Federal FCRA authorities were checked against the Office of the Law Revision Counsel U.S. Code and current Regulation V materials available on July 23,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Pennsylvania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Pennsylvania Code citation by title,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Pr="00566B6A" w:rsidRDefault="00F247EE">
      <w:pPr>
        <w:keepLines/>
        <w:spacing w:before="40" w:after="0"/>
        <w:rPr>
          <w:rFonts w:ascii="Courier New" w:hAnsi="Courier New" w:cs="Courier New"/>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sectPr w:rsidR="00756B19"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DCF7B" w14:textId="77777777" w:rsidR="00DD4E69" w:rsidRDefault="00DD4E69">
      <w:pPr>
        <w:spacing w:after="0" w:line="240" w:lineRule="auto"/>
      </w:pPr>
      <w:r>
        <w:separator/>
      </w:r>
    </w:p>
  </w:endnote>
  <w:endnote w:type="continuationSeparator" w:id="0">
    <w:p w14:paraId="0645A4EE" w14:textId="77777777" w:rsidR="00DD4E69" w:rsidRDefault="00DD4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6F3C1" w14:textId="77777777" w:rsidR="00DD4E69" w:rsidRDefault="00DD4E69">
      <w:pPr>
        <w:spacing w:after="0" w:line="240" w:lineRule="auto"/>
      </w:pPr>
      <w:r>
        <w:separator/>
      </w:r>
    </w:p>
  </w:footnote>
  <w:footnote w:type="continuationSeparator" w:id="0">
    <w:p w14:paraId="09DF3382" w14:textId="77777777" w:rsidR="00DD4E69" w:rsidRDefault="00DD4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PENNSYLVANIA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F27AD"/>
    <w:rsid w:val="00736F61"/>
    <w:rsid w:val="00756B19"/>
    <w:rsid w:val="00964317"/>
    <w:rsid w:val="00A925DE"/>
    <w:rsid w:val="00AA1D8D"/>
    <w:rsid w:val="00B47730"/>
    <w:rsid w:val="00CB0664"/>
    <w:rsid w:val="00DD4E69"/>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4469</Words>
  <Characters>25475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29885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2026-07-23T21:02:00Z</dcterms:created>
  <dcterms:modified xsi:type="dcterms:W3CDTF">2026-07-23T21:02:00Z</dcterms:modified>
  <cp:category/>
</cp:coreProperties>
</file>