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675C"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7D6F8D99" w14:textId="77777777" w:rsidR="00024A47" w:rsidRPr="00024A47" w:rsidRDefault="00024A47">
      <w:pPr>
        <w:spacing w:after="140"/>
        <w:jc w:val="center"/>
        <w:rPr>
          <w:rFonts w:ascii="Courier New" w:hAnsi="Courier New" w:cs="Courier New"/>
          <w:b/>
          <w:sz w:val="22"/>
        </w:rPr>
      </w:pPr>
    </w:p>
    <w:p w14:paraId="6EE21F1E" w14:textId="0AFF410F"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72FA0717" w14:textId="77777777" w:rsidR="00566B6A" w:rsidRPr="00024A47" w:rsidRDefault="00566B6A" w:rsidP="00566B6A">
      <w:pPr>
        <w:spacing w:after="0"/>
        <w:jc w:val="center"/>
        <w:rPr>
          <w:rFonts w:ascii="Courier New" w:hAnsi="Courier New" w:cs="Courier New"/>
          <w:bCs/>
          <w:sz w:val="22"/>
        </w:rPr>
      </w:pPr>
    </w:p>
    <w:p w14:paraId="73D0B4E9"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28B947F5" w14:textId="2BAD2651"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670A387A"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0E257C30"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Puerto Rico (PR)</w:t>
      </w:r>
    </w:p>
    <w:p w14:paraId="4F19E513"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2F75E71D"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None identified</w:t>
      </w:r>
    </w:p>
    <w:p w14:paraId="59301BE0"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25AA402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Puerto Rico Department of Consumer Affairs Organic Act (DACO Act)</w:t>
      </w:r>
    </w:p>
    <w:p w14:paraId="0F6B37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3 L.P.R.A. §§ 341 through 341w</w:t>
      </w:r>
    </w:p>
    <w:p w14:paraId="1F3A8A6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Establishes the Department of Consumer Affairs (DACO) to vindicate and implement consumer rights, adjudicate consumer complaints, regulate deceptive commercial practices and advertising, and prohibit acts, practices, advertisements, or publicity that constitute or tend to constitute fraud, deceit, or misrepresentation.</w:t>
      </w:r>
    </w:p>
    <w:p w14:paraId="23DD16B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DACO may adjudicate complaints, order authorized relief, issue cease-and-desist or corrective orders, and impose administrative fines. See 3 L.P.R.A. §§ 341e, 341l, and 341q.</w:t>
      </w:r>
    </w:p>
    <w:p w14:paraId="73BC6CB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The Organic Act principally creates an administrative complaint and enforcement framework rather than a general private damages action solely under the Act. Consumers may file a DACO complaint; reconsideration, judicial review, limitation, and prescription periods depend on the governing statute, regulation, remedy, and accrual facts. Verification Required before calculating any deadline.</w:t>
      </w:r>
    </w:p>
    <w:p w14:paraId="1EA4E38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Enforcement: Puerto Rico Department of Consumer Affairs (DACO), under 3 L.P.R.A. § 341e. DACO is the consumer administrative agency, not the Puerto Rico Attorney General.</w:t>
      </w:r>
    </w:p>
    <w:p w14:paraId="36B9B3E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0D3729B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Collection/tradeline derogatory activity present — review Puerto Rico collection-agency licensing, communications, documentation, prohibited-practice, and pre-suit notice requirements together with federal debt-collection law.</w:t>
      </w:r>
    </w:p>
    <w:p w14:paraId="18481CF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 xml:space="preserve">Overview: The Puerto Rico Collection Agencies Act regulates collection-agency licensing and conduct and prohibits specified abusive or improper practices. Article 17 includes restrictions </w:t>
      </w:r>
      <w:r w:rsidRPr="00566B6A">
        <w:rPr>
          <w:rFonts w:ascii="Courier New" w:hAnsi="Courier New" w:cs="Courier New"/>
          <w:bCs/>
          <w:sz w:val="22"/>
        </w:rPr>
        <w:lastRenderedPageBreak/>
        <w:t>on communications, unauthorized charges, and collection litigation. Act 98-2026 added protections concerning medical-debt information and misleading credit-reporting threats. The federal FDCPA may apply separately.</w:t>
      </w:r>
    </w:p>
    <w:p w14:paraId="218AD34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Citations: 10 L.P.R.A. §§ 981 through 981s, including § 981p; Act 98-2026; 15 U.S.C. §§ 1692 through 1692p.</w:t>
      </w:r>
    </w:p>
    <w:p w14:paraId="65D8AF3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Regulators: DACO; OCIF for supervised financial institutions; CFPB and FTC where federal law applies.</w:t>
      </w:r>
    </w:p>
    <w:p w14:paraId="44C7FD4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Credit Reporting / Mini-FCRA Laws</w:t>
      </w:r>
    </w:p>
    <w:p w14:paraId="474C23C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Puerto Rico has a local Credit Reporting Agencies Act that promotes accuracy, fairness, privacy, and timely consumer notice, adopts federal FCRA concepts, and assigns administrative jurisdiction to DACO and, for supervised institutions, OCIF. Act 98-2026 prohibits furnishers from submitting adverse consumer information directly related to medical debt.</w:t>
      </w:r>
    </w:p>
    <w:p w14:paraId="4F0619E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Consumers may place, lift, or remove a security freeze under 7 L.P.R.A. §§ 3131 through 3148.</w:t>
      </w:r>
    </w:p>
    <w:p w14:paraId="381BC59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The Puerto Rico Credit Reporting Agencies Act, 7 L.P.R.A. §§ 2031 through 2039, supplements federal disclosure rights and provides a free credit report once per calendar year from each credit-reporting agency doing business in Puerto Rico. See 7 L.P.R.A. § 2038a.</w:t>
      </w:r>
    </w:p>
    <w:p w14:paraId="1C7857E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Inaccurate, incomplete, or unverifiable identifiers and account information may be disputed under Puerto Rico law and the federal FCRA. Identify the distinct local duty and evaluate preemption.</w:t>
      </w:r>
    </w:p>
    <w:p w14:paraId="4FD0D9D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Federal law principally governs fraud alerts; Puerto Rico supplements protection through credit-freeze, credit-reporting, and identity-theft laws.</w:t>
      </w:r>
    </w:p>
    <w:p w14:paraId="1A40D0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Under 7 L.P.R.A. § 3147, willful or negligent noncompliance with the freeze law may support specified damages, costs, and attorney’s fees.</w:t>
      </w:r>
    </w:p>
    <w:p w14:paraId="4389244A"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7F420F48"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Information covered by the consumer file: Under 15 U.S.C. § 1681a(g), a consumer “file” includes all information about the consumer recorded and retained by a consumer reporting agency, regardless of storage method. This permits a consumer to dispute personal identifiers retained in the file, including names, current or former addresses, telephone numbers, and past or present employer information.</w:t>
      </w:r>
    </w:p>
    <w:p w14:paraId="24514C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Maximum possible accuracy: Whenever a consumer reporting agency prepares a consumer report, 15 U.S.C. § 1681e(b) requires reasonable procedures designed to assure maximum possible accuracy </w:t>
      </w:r>
      <w:r w:rsidRPr="00566B6A">
        <w:rPr>
          <w:rFonts w:ascii="Courier New" w:hAnsi="Courier New" w:cs="Courier New"/>
          <w:bCs/>
          <w:sz w:val="22"/>
        </w:rPr>
        <w:lastRenderedPageBreak/>
        <w:t>of the information concerning the consumer. Incorrect identifying information can support a mixed-file, identity-integrity, or report-accuracy review.</w:t>
      </w:r>
    </w:p>
    <w:p w14:paraId="5DF629C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47ADE7AD"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CRA dispute and reasonable reinvestigation: Under 15 U.S.C. § 1681i(a)(1)(A), when the consumer disputes the completeness or accuracy of any item of information in the file and notifies the consumer reporting agency, the agency must conduct a reasonable reinvestigation free of charge, determine whether the item is inaccurate, record its current status, or delete it in accordance with § 1681i(a)(5). Section 1681i(a)(4) requires the agency to review and consider all relevant information submitted by the consumer.</w:t>
      </w:r>
    </w:p>
    <w:p w14:paraId="759DA1A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3B4F5A4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6E477B7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475828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Correct route for address, telephone, and employer disputes: Regulation V, 12 C.F.R. § 1022.43(b)(1)(i)–(ii), excludes identifying information such as telephone numbers and addresses, and the identity of past or present employers, from the regulation’s mandatory direct-dispute investigation procedure for furnishers. The primary dispute should therefore be submitted directly to each consumer reporting agency displaying the inaccurate information. A </w:t>
      </w:r>
      <w:r w:rsidRPr="00566B6A">
        <w:rPr>
          <w:rFonts w:ascii="Courier New" w:hAnsi="Courier New" w:cs="Courier New"/>
          <w:bCs/>
          <w:sz w:val="22"/>
        </w:rPr>
        <w:lastRenderedPageBreak/>
        <w:t>furnisher may still have duties after receiving the dispute through the agency under 15 U.S.C. § 1681s-2(b), where applicable.</w:t>
      </w:r>
    </w:p>
    <w:p w14:paraId="1C1C2693"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7F0086B4"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Practical limitation—no automatic purge of accurate history: The FCRA does not automatically require deletion merely because a former address or employer is old or no longer current. Request modification when an accurate historical item is incorrectly labeled as current. Request deletion when the item is not the consumer’s, is materially inaccurate or incomplete, cannot be verified, reflects a mixed file, or resulted from identity theft. Preserve the report page, proof of current identity and residence, employment records, dispute confirmation, and reinvestigation results.</w:t>
      </w:r>
    </w:p>
    <w:p w14:paraId="523C9529"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793323C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theft: The current Puerto Rico identity-theft provision is 33 L.P.R.A. § 4844. It criminalizes specified unauthorized possession, transfer, use, or creation of another person’s identifying information for fraudulent or unlawful purposes.</w:t>
      </w:r>
    </w:p>
    <w:p w14:paraId="39F079F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correction: 33 L.P.R.A. § 4821 concerns aggravated larceny, not identity theft. Use § 4844 with applicable federal identity-theft procedures.</w:t>
      </w:r>
    </w:p>
    <w:p w14:paraId="5984999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Restoration may involve fraud alerts, security freezes, creditor notifications, police or FTC identity-theft reports, and documented dispute trails.</w:t>
      </w:r>
    </w:p>
    <w:p w14:paraId="4F04A53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Maintain police reports, FTC IdentityTheft.gov reports, court orders, freeze confirmations, creditor notices, and agency confirmation numbers.</w:t>
      </w:r>
    </w:p>
    <w:p w14:paraId="0043491D"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3058830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Breach notice: Under 10 L.P.R.A. §§ 4051 through 4055, covered database owners or custodians must notify affected Puerto Rico residents and report a qualifying breach to DACO within the statutory period.</w:t>
      </w:r>
    </w:p>
    <w:p w14:paraId="4EA669F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Article range: Citizen Information on Data Banks Security Act, 10 L.P.R.A. §§ 4051 through 4055.</w:t>
      </w:r>
    </w:p>
    <w:p w14:paraId="613B540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Privacy rights: No general omnibus Puerto Rico privacy act was identified; credit-reporting, freeze, breach, sector-specific, and federal rules may apply.</w:t>
      </w:r>
    </w:p>
    <w:p w14:paraId="3C14B9E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duties: Covered entities should preserve breach investigation records, notice content, delivery dates, law-enforcement delay requests, and remediation documentation.</w:t>
      </w:r>
    </w:p>
    <w:p w14:paraId="022D002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lastRenderedPageBreak/>
        <w:t>STATE AG / Regulator Authority + Policies</w:t>
      </w:r>
    </w:p>
    <w:p w14:paraId="136BB03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Puerto Rico Department of Consumer Affairs (DACO): Consumer complaint intake, administrative adjudication, deceptive-practice regulation, collection-agency licensing, and enforcement within its statutory jurisdiction.</w:t>
      </w:r>
    </w:p>
    <w:p w14:paraId="2553CB8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Puerto Rico Office of the Commissioner of Financial Institutions (OCIF): Complaint and supervisory pathway for banks, lenders, mortgage businesses, and other covered financial institutions within its jurisdiction.</w:t>
      </w:r>
    </w:p>
    <w:p w14:paraId="1AB2F41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Puerto Rico Department of Justice / Office of the Attorney General: Separate criminal or civil enforcement may apply when an independent statute confers authority; DACO remains the principal administrative consumer forum under the Organic Act.</w:t>
      </w:r>
    </w:p>
    <w:p w14:paraId="5E4A391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Federal escalation: CFPB and FTC complaint pathways may complement state intake when federal consumer-finance or debt-collection law applies.</w:t>
      </w:r>
    </w:p>
    <w:p w14:paraId="607C3BE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Local Ordinances</w:t>
      </w:r>
    </w:p>
    <w:p w14:paraId="1913215B"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Municipal ordinances are not usually controlling for credit-reporting disputes; verify any municipality-specific provision.</w:t>
      </w:r>
    </w:p>
    <w:p w14:paraId="0E67A78E" w14:textId="77777777" w:rsidR="00566B6A" w:rsidRPr="00566B6A" w:rsidRDefault="00566B6A" w:rsidP="00566B6A">
      <w:pPr>
        <w:spacing w:after="0"/>
        <w:rPr>
          <w:rFonts w:ascii="Courier New" w:hAnsi="Courier New" w:cs="Courier New"/>
          <w:bCs/>
          <w:sz w:val="22"/>
        </w:rPr>
      </w:pPr>
    </w:p>
    <w:p w14:paraId="0DF34D0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68DB9D13" w14:textId="77777777">
        <w:trPr>
          <w:cantSplit/>
          <w:tblHeader/>
          <w:jc w:val="center"/>
        </w:trPr>
        <w:tc>
          <w:tcPr>
            <w:tcW w:w="1440" w:type="dxa"/>
            <w:shd w:val="clear" w:color="auto" w:fill="D9EAF7"/>
            <w:tcMar>
              <w:top w:w="55" w:type="dxa"/>
              <w:left w:w="55" w:type="dxa"/>
              <w:bottom w:w="55" w:type="dxa"/>
              <w:right w:w="55" w:type="dxa"/>
            </w:tcMar>
            <w:vAlign w:val="center"/>
          </w:tcPr>
          <w:p w14:paraId="49DE6BB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74D64BF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5C2CA3A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378E6F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6E5909D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6FE1F95B" w14:textId="77777777">
        <w:trPr>
          <w:cantSplit/>
          <w:jc w:val="center"/>
        </w:trPr>
        <w:tc>
          <w:tcPr>
            <w:tcW w:w="1440" w:type="dxa"/>
            <w:tcMar>
              <w:top w:w="50" w:type="dxa"/>
              <w:left w:w="55" w:type="dxa"/>
              <w:bottom w:w="50" w:type="dxa"/>
              <w:right w:w="55" w:type="dxa"/>
            </w:tcMar>
          </w:tcPr>
          <w:p w14:paraId="4C25DA9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634084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3 L.P.R.A. §§ 341–341w</w:t>
            </w:r>
          </w:p>
        </w:tc>
        <w:tc>
          <w:tcPr>
            <w:tcW w:w="3168" w:type="dxa"/>
            <w:tcMar>
              <w:top w:w="50" w:type="dxa"/>
              <w:left w:w="55" w:type="dxa"/>
              <w:bottom w:w="50" w:type="dxa"/>
              <w:right w:w="55" w:type="dxa"/>
            </w:tcMar>
          </w:tcPr>
          <w:p w14:paraId="3D24A60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DACO Organic Act; consumer complaints and deceptive practices</w:t>
            </w:r>
          </w:p>
        </w:tc>
        <w:tc>
          <w:tcPr>
            <w:tcW w:w="3456" w:type="dxa"/>
            <w:tcMar>
              <w:top w:w="50" w:type="dxa"/>
              <w:left w:w="55" w:type="dxa"/>
              <w:bottom w:w="50" w:type="dxa"/>
              <w:right w:w="55" w:type="dxa"/>
            </w:tcMar>
          </w:tcPr>
          <w:p w14:paraId="420169D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Administrative remedies; corrective/cease-and-desist orders; fines</w:t>
            </w:r>
          </w:p>
        </w:tc>
        <w:tc>
          <w:tcPr>
            <w:tcW w:w="3888" w:type="dxa"/>
            <w:tcMar>
              <w:top w:w="50" w:type="dxa"/>
              <w:left w:w="55" w:type="dxa"/>
              <w:bottom w:w="50" w:type="dxa"/>
              <w:right w:w="55" w:type="dxa"/>
            </w:tcMar>
          </w:tcPr>
          <w:p w14:paraId="4B46A2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Transaction proof; ad or representation; complaint; requested remedy; agency record</w:t>
            </w:r>
          </w:p>
        </w:tc>
      </w:tr>
      <w:tr w:rsidR="00756B19" w:rsidRPr="00566B6A" w14:paraId="2B74E5E6" w14:textId="77777777">
        <w:trPr>
          <w:cantSplit/>
          <w:jc w:val="center"/>
        </w:trPr>
        <w:tc>
          <w:tcPr>
            <w:tcW w:w="1440" w:type="dxa"/>
            <w:shd w:val="clear" w:color="auto" w:fill="F7FAFC"/>
            <w:tcMar>
              <w:top w:w="50" w:type="dxa"/>
              <w:left w:w="55" w:type="dxa"/>
              <w:bottom w:w="50" w:type="dxa"/>
              <w:right w:w="55" w:type="dxa"/>
            </w:tcMar>
          </w:tcPr>
          <w:p w14:paraId="4B27FD7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583282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10 L.P.R.A. §§ 981–981s; § 981p</w:t>
            </w:r>
          </w:p>
        </w:tc>
        <w:tc>
          <w:tcPr>
            <w:tcW w:w="3168" w:type="dxa"/>
            <w:shd w:val="clear" w:color="auto" w:fill="F7FAFC"/>
            <w:tcMar>
              <w:top w:w="50" w:type="dxa"/>
              <w:left w:w="55" w:type="dxa"/>
              <w:bottom w:w="50" w:type="dxa"/>
              <w:right w:w="55" w:type="dxa"/>
            </w:tcMar>
          </w:tcPr>
          <w:p w14:paraId="24C0DB7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Collection-agency licensing and prohibited practices</w:t>
            </w:r>
          </w:p>
        </w:tc>
        <w:tc>
          <w:tcPr>
            <w:tcW w:w="3456" w:type="dxa"/>
            <w:shd w:val="clear" w:color="auto" w:fill="F7FAFC"/>
            <w:tcMar>
              <w:top w:w="50" w:type="dxa"/>
              <w:left w:w="55" w:type="dxa"/>
              <w:bottom w:w="50" w:type="dxa"/>
              <w:right w:w="55" w:type="dxa"/>
            </w:tcMar>
          </w:tcPr>
          <w:p w14:paraId="15B14E3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DACO enforcement; penalties; pre-suit safeguards; separate FDCPA relief may apply</w:t>
            </w:r>
          </w:p>
        </w:tc>
        <w:tc>
          <w:tcPr>
            <w:tcW w:w="3888" w:type="dxa"/>
            <w:shd w:val="clear" w:color="auto" w:fill="F7FAFC"/>
            <w:tcMar>
              <w:top w:w="50" w:type="dxa"/>
              <w:left w:w="55" w:type="dxa"/>
              <w:bottom w:w="50" w:type="dxa"/>
              <w:right w:w="55" w:type="dxa"/>
            </w:tcMar>
          </w:tcPr>
          <w:p w14:paraId="4E12348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Collector identity; license; letters; call logs; certified notice; ledger</w:t>
            </w:r>
          </w:p>
        </w:tc>
      </w:tr>
      <w:tr w:rsidR="00756B19" w:rsidRPr="00566B6A" w14:paraId="2E7F3F76" w14:textId="77777777">
        <w:trPr>
          <w:cantSplit/>
          <w:jc w:val="center"/>
        </w:trPr>
        <w:tc>
          <w:tcPr>
            <w:tcW w:w="1440" w:type="dxa"/>
            <w:tcMar>
              <w:top w:w="50" w:type="dxa"/>
              <w:left w:w="55" w:type="dxa"/>
              <w:bottom w:w="50" w:type="dxa"/>
              <w:right w:w="55" w:type="dxa"/>
            </w:tcMar>
          </w:tcPr>
          <w:p w14:paraId="3EA462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435FC59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7 L.P.R.A. §§ 2031–2039; §§ 3131–3148</w:t>
            </w:r>
          </w:p>
        </w:tc>
        <w:tc>
          <w:tcPr>
            <w:tcW w:w="3168" w:type="dxa"/>
            <w:tcMar>
              <w:top w:w="50" w:type="dxa"/>
              <w:left w:w="55" w:type="dxa"/>
              <w:bottom w:w="50" w:type="dxa"/>
              <w:right w:w="55" w:type="dxa"/>
            </w:tcMar>
          </w:tcPr>
          <w:p w14:paraId="4C2BDFD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Credit reporting, disputes, annual disclosure, and security freezes</w:t>
            </w:r>
          </w:p>
        </w:tc>
        <w:tc>
          <w:tcPr>
            <w:tcW w:w="3456" w:type="dxa"/>
            <w:tcMar>
              <w:top w:w="50" w:type="dxa"/>
              <w:left w:w="55" w:type="dxa"/>
              <w:bottom w:w="50" w:type="dxa"/>
              <w:right w:w="55" w:type="dxa"/>
            </w:tcMar>
          </w:tcPr>
          <w:p w14:paraId="4A37E8F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DACO/OCIF administration; freeze damages under § 3147; Act 98-2026 medical-debt limits</w:t>
            </w:r>
          </w:p>
        </w:tc>
        <w:tc>
          <w:tcPr>
            <w:tcW w:w="3888" w:type="dxa"/>
            <w:tcMar>
              <w:top w:w="50" w:type="dxa"/>
              <w:left w:w="55" w:type="dxa"/>
              <w:bottom w:w="50" w:type="dxa"/>
              <w:right w:w="55" w:type="dxa"/>
            </w:tcMar>
          </w:tcPr>
          <w:p w14:paraId="5DF22B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Credit report; dispute ID; source records; freeze confirmation; release history</w:t>
            </w:r>
          </w:p>
        </w:tc>
      </w:tr>
      <w:tr w:rsidR="00756B19" w:rsidRPr="00566B6A" w14:paraId="7D717879" w14:textId="77777777">
        <w:trPr>
          <w:cantSplit/>
          <w:jc w:val="center"/>
        </w:trPr>
        <w:tc>
          <w:tcPr>
            <w:tcW w:w="1440" w:type="dxa"/>
            <w:shd w:val="clear" w:color="auto" w:fill="F7FAFC"/>
            <w:tcMar>
              <w:top w:w="50" w:type="dxa"/>
              <w:left w:w="55" w:type="dxa"/>
              <w:bottom w:w="50" w:type="dxa"/>
              <w:right w:w="55" w:type="dxa"/>
            </w:tcMar>
          </w:tcPr>
          <w:p w14:paraId="62B2522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Statute/Act</w:t>
            </w:r>
          </w:p>
        </w:tc>
        <w:tc>
          <w:tcPr>
            <w:tcW w:w="2448" w:type="dxa"/>
            <w:shd w:val="clear" w:color="auto" w:fill="F7FAFC"/>
            <w:tcMar>
              <w:top w:w="50" w:type="dxa"/>
              <w:left w:w="55" w:type="dxa"/>
              <w:bottom w:w="50" w:type="dxa"/>
              <w:right w:w="55" w:type="dxa"/>
            </w:tcMar>
          </w:tcPr>
          <w:p w14:paraId="6E069C8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10 L.P.R.A. §§ 4051–4055</w:t>
            </w:r>
          </w:p>
        </w:tc>
        <w:tc>
          <w:tcPr>
            <w:tcW w:w="3168" w:type="dxa"/>
            <w:shd w:val="clear" w:color="auto" w:fill="F7FAFC"/>
            <w:tcMar>
              <w:top w:w="50" w:type="dxa"/>
              <w:left w:w="55" w:type="dxa"/>
              <w:bottom w:w="50" w:type="dxa"/>
              <w:right w:w="55" w:type="dxa"/>
            </w:tcMar>
          </w:tcPr>
          <w:p w14:paraId="0EAFB2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Data-breach definitions, consumer notice, and DACO reporting</w:t>
            </w:r>
          </w:p>
        </w:tc>
        <w:tc>
          <w:tcPr>
            <w:tcW w:w="3456" w:type="dxa"/>
            <w:shd w:val="clear" w:color="auto" w:fill="F7FAFC"/>
            <w:tcMar>
              <w:top w:w="50" w:type="dxa"/>
              <w:left w:w="55" w:type="dxa"/>
              <w:bottom w:w="50" w:type="dxa"/>
              <w:right w:w="55" w:type="dxa"/>
            </w:tcMar>
          </w:tcPr>
          <w:p w14:paraId="0556E8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DACO fines; required notice; judicial claims preserved as provided by law</w:t>
            </w:r>
          </w:p>
        </w:tc>
        <w:tc>
          <w:tcPr>
            <w:tcW w:w="3888" w:type="dxa"/>
            <w:shd w:val="clear" w:color="auto" w:fill="F7FAFC"/>
            <w:tcMar>
              <w:top w:w="50" w:type="dxa"/>
              <w:left w:w="55" w:type="dxa"/>
              <w:bottom w:w="50" w:type="dxa"/>
              <w:right w:w="55" w:type="dxa"/>
            </w:tcMar>
          </w:tcPr>
          <w:p w14:paraId="72352F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Breach notice; dates; data fields; DACO report; remediation records</w:t>
            </w:r>
          </w:p>
        </w:tc>
      </w:tr>
      <w:tr w:rsidR="00756B19" w:rsidRPr="00566B6A" w14:paraId="78460C98" w14:textId="77777777">
        <w:trPr>
          <w:cantSplit/>
          <w:jc w:val="center"/>
        </w:trPr>
        <w:tc>
          <w:tcPr>
            <w:tcW w:w="1440" w:type="dxa"/>
            <w:tcMar>
              <w:top w:w="50" w:type="dxa"/>
              <w:left w:w="55" w:type="dxa"/>
              <w:bottom w:w="50" w:type="dxa"/>
              <w:right w:w="55" w:type="dxa"/>
            </w:tcMar>
          </w:tcPr>
          <w:p w14:paraId="0527A85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5D71676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33 L.P.R.A. § 4844</w:t>
            </w:r>
          </w:p>
        </w:tc>
        <w:tc>
          <w:tcPr>
            <w:tcW w:w="3168" w:type="dxa"/>
            <w:tcMar>
              <w:top w:w="50" w:type="dxa"/>
              <w:left w:w="55" w:type="dxa"/>
              <w:bottom w:w="50" w:type="dxa"/>
              <w:right w:w="55" w:type="dxa"/>
            </w:tcMar>
          </w:tcPr>
          <w:p w14:paraId="629969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 theft and misuse of identifying information</w:t>
            </w:r>
          </w:p>
        </w:tc>
        <w:tc>
          <w:tcPr>
            <w:tcW w:w="3456" w:type="dxa"/>
            <w:tcMar>
              <w:top w:w="50" w:type="dxa"/>
              <w:left w:w="55" w:type="dxa"/>
              <w:bottom w:w="50" w:type="dxa"/>
              <w:right w:w="55" w:type="dxa"/>
            </w:tcMar>
          </w:tcPr>
          <w:p w14:paraId="3282C00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Criminal enforcement and restitution where authorized</w:t>
            </w:r>
          </w:p>
        </w:tc>
        <w:tc>
          <w:tcPr>
            <w:tcW w:w="3888" w:type="dxa"/>
            <w:tcMar>
              <w:top w:w="50" w:type="dxa"/>
              <w:left w:w="55" w:type="dxa"/>
              <w:bottom w:w="50" w:type="dxa"/>
              <w:right w:w="55" w:type="dxa"/>
            </w:tcMar>
          </w:tcPr>
          <w:p w14:paraId="5D0DDF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Police/FTC report; identity proof; creditor/bureau notices; court records</w:t>
            </w:r>
          </w:p>
        </w:tc>
      </w:tr>
      <w:tr w:rsidR="00756B19" w:rsidRPr="00566B6A" w14:paraId="4D1F75C6" w14:textId="77777777">
        <w:trPr>
          <w:cantSplit/>
          <w:jc w:val="center"/>
        </w:trPr>
        <w:tc>
          <w:tcPr>
            <w:tcW w:w="1440" w:type="dxa"/>
            <w:shd w:val="clear" w:color="auto" w:fill="F7FAFC"/>
            <w:tcMar>
              <w:top w:w="50" w:type="dxa"/>
              <w:left w:w="55" w:type="dxa"/>
              <w:bottom w:w="50" w:type="dxa"/>
              <w:right w:w="55" w:type="dxa"/>
            </w:tcMar>
          </w:tcPr>
          <w:p w14:paraId="325E246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Policy</w:t>
            </w:r>
          </w:p>
        </w:tc>
        <w:tc>
          <w:tcPr>
            <w:tcW w:w="2448" w:type="dxa"/>
            <w:shd w:val="clear" w:color="auto" w:fill="F7FAFC"/>
            <w:tcMar>
              <w:top w:w="50" w:type="dxa"/>
              <w:left w:w="55" w:type="dxa"/>
              <w:bottom w:w="50" w:type="dxa"/>
              <w:right w:w="55" w:type="dxa"/>
            </w:tcMar>
          </w:tcPr>
          <w:p w14:paraId="60A716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Puerto Rico DACO</w:t>
            </w:r>
          </w:p>
        </w:tc>
        <w:tc>
          <w:tcPr>
            <w:tcW w:w="3168" w:type="dxa"/>
            <w:shd w:val="clear" w:color="auto" w:fill="F7FAFC"/>
            <w:tcMar>
              <w:top w:w="50" w:type="dxa"/>
              <w:left w:w="55" w:type="dxa"/>
              <w:bottom w:w="50" w:type="dxa"/>
              <w:right w:w="55" w:type="dxa"/>
            </w:tcMar>
          </w:tcPr>
          <w:p w14:paraId="050C794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complaints, adjudication, licensing, and enforcement</w:t>
            </w:r>
          </w:p>
        </w:tc>
        <w:tc>
          <w:tcPr>
            <w:tcW w:w="3456" w:type="dxa"/>
            <w:shd w:val="clear" w:color="auto" w:fill="F7FAFC"/>
            <w:tcMar>
              <w:top w:w="50" w:type="dxa"/>
              <w:left w:w="55" w:type="dxa"/>
              <w:bottom w:w="50" w:type="dxa"/>
              <w:right w:w="55" w:type="dxa"/>
            </w:tcMar>
          </w:tcPr>
          <w:p w14:paraId="4A945F5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Review, mediation or adjudication, corrective orders, fines, and referrals</w:t>
            </w:r>
          </w:p>
        </w:tc>
        <w:tc>
          <w:tcPr>
            <w:tcW w:w="3888" w:type="dxa"/>
            <w:shd w:val="clear" w:color="auto" w:fill="F7FAFC"/>
            <w:tcMar>
              <w:top w:w="50" w:type="dxa"/>
              <w:left w:w="55" w:type="dxa"/>
              <w:bottom w:w="50" w:type="dxa"/>
              <w:right w:w="55" w:type="dxa"/>
            </w:tcMar>
          </w:tcPr>
          <w:p w14:paraId="391A9DA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ID; exhibits; agency response; chronology</w:t>
            </w:r>
          </w:p>
        </w:tc>
      </w:tr>
      <w:tr w:rsidR="00756B19" w:rsidRPr="00566B6A" w14:paraId="41D89716" w14:textId="77777777">
        <w:trPr>
          <w:cantSplit/>
          <w:jc w:val="center"/>
        </w:trPr>
        <w:tc>
          <w:tcPr>
            <w:tcW w:w="1440" w:type="dxa"/>
            <w:tcMar>
              <w:top w:w="50" w:type="dxa"/>
              <w:left w:w="55" w:type="dxa"/>
              <w:bottom w:w="50" w:type="dxa"/>
              <w:right w:w="55" w:type="dxa"/>
            </w:tcMar>
          </w:tcPr>
          <w:p w14:paraId="4AF5FF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Regulator</w:t>
            </w:r>
          </w:p>
        </w:tc>
        <w:tc>
          <w:tcPr>
            <w:tcW w:w="2448" w:type="dxa"/>
            <w:tcMar>
              <w:top w:w="50" w:type="dxa"/>
              <w:left w:w="55" w:type="dxa"/>
              <w:bottom w:w="50" w:type="dxa"/>
              <w:right w:w="55" w:type="dxa"/>
            </w:tcMar>
          </w:tcPr>
          <w:p w14:paraId="5A6331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DACO / OCIF / PR DOJ</w:t>
            </w:r>
          </w:p>
        </w:tc>
        <w:tc>
          <w:tcPr>
            <w:tcW w:w="3168" w:type="dxa"/>
            <w:tcMar>
              <w:top w:w="50" w:type="dxa"/>
              <w:left w:w="55" w:type="dxa"/>
              <w:bottom w:w="50" w:type="dxa"/>
              <w:right w:w="55" w:type="dxa"/>
            </w:tcMar>
          </w:tcPr>
          <w:p w14:paraId="2A65D6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collection, financial-institution, and criminal matters</w:t>
            </w:r>
          </w:p>
        </w:tc>
        <w:tc>
          <w:tcPr>
            <w:tcW w:w="3456" w:type="dxa"/>
            <w:tcMar>
              <w:top w:w="50" w:type="dxa"/>
              <w:left w:w="55" w:type="dxa"/>
              <w:bottom w:w="50" w:type="dxa"/>
              <w:right w:w="55" w:type="dxa"/>
            </w:tcMar>
          </w:tcPr>
          <w:p w14:paraId="1FEB22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Jurisdictional review and administrative or law-enforcement action</w:t>
            </w:r>
          </w:p>
        </w:tc>
        <w:tc>
          <w:tcPr>
            <w:tcW w:w="3888" w:type="dxa"/>
            <w:tcMar>
              <w:top w:w="50" w:type="dxa"/>
              <w:left w:w="55" w:type="dxa"/>
              <w:bottom w:w="50" w:type="dxa"/>
              <w:right w:w="55" w:type="dxa"/>
            </w:tcMar>
          </w:tcPr>
          <w:p w14:paraId="1A9ADB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 lookup; complaint file; regulator correspondence; referral record</w:t>
            </w:r>
          </w:p>
        </w:tc>
      </w:tr>
      <w:tr w:rsidR="00756B19" w:rsidRPr="00566B6A" w14:paraId="2D9A5252" w14:textId="77777777">
        <w:trPr>
          <w:cantSplit/>
          <w:jc w:val="center"/>
        </w:trPr>
        <w:tc>
          <w:tcPr>
            <w:tcW w:w="1440" w:type="dxa"/>
            <w:shd w:val="clear" w:color="auto" w:fill="F7FAFC"/>
            <w:tcMar>
              <w:top w:w="50" w:type="dxa"/>
              <w:left w:w="55" w:type="dxa"/>
              <w:bottom w:w="50" w:type="dxa"/>
              <w:right w:w="55" w:type="dxa"/>
            </w:tcMar>
          </w:tcPr>
          <w:p w14:paraId="2D28F3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Ordinance</w:t>
            </w:r>
          </w:p>
        </w:tc>
        <w:tc>
          <w:tcPr>
            <w:tcW w:w="2448" w:type="dxa"/>
            <w:shd w:val="clear" w:color="auto" w:fill="F7FAFC"/>
            <w:tcMar>
              <w:top w:w="50" w:type="dxa"/>
              <w:left w:w="55" w:type="dxa"/>
              <w:bottom w:w="50" w:type="dxa"/>
              <w:right w:w="55" w:type="dxa"/>
            </w:tcMar>
          </w:tcPr>
          <w:p w14:paraId="1703B4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0438C32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Municipality-specific consumer provisions</w:t>
            </w:r>
          </w:p>
        </w:tc>
        <w:tc>
          <w:tcPr>
            <w:tcW w:w="3456" w:type="dxa"/>
            <w:shd w:val="clear" w:color="auto" w:fill="F7FAFC"/>
            <w:tcMar>
              <w:top w:w="50" w:type="dxa"/>
              <w:left w:w="55" w:type="dxa"/>
              <w:bottom w:w="50" w:type="dxa"/>
              <w:right w:w="55" w:type="dxa"/>
            </w:tcMar>
          </w:tcPr>
          <w:p w14:paraId="10A252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3E49BB1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Puerto Rico and federal frameworks</w:t>
            </w:r>
          </w:p>
        </w:tc>
      </w:tr>
      <w:tr w:rsidR="00756B19" w:rsidRPr="00566B6A" w14:paraId="11219014" w14:textId="77777777">
        <w:trPr>
          <w:jc w:val="center"/>
        </w:trPr>
        <w:tc>
          <w:tcPr>
            <w:tcW w:w="1440" w:type="dxa"/>
          </w:tcPr>
          <w:p w14:paraId="1454D0C9"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14DA5CF4" w14:textId="77777777" w:rsidR="00756B19" w:rsidRPr="00566B6A" w:rsidRDefault="00F247EE">
            <w:pPr>
              <w:rPr>
                <w:rFonts w:ascii="Courier New" w:hAnsi="Courier New" w:cs="Courier New"/>
                <w:sz w:val="22"/>
              </w:rPr>
            </w:pPr>
            <w:r w:rsidRPr="00566B6A">
              <w:rPr>
                <w:rFonts w:ascii="Courier New" w:hAnsi="Courier New" w:cs="Courier New"/>
                <w:sz w:val="22"/>
              </w:rPr>
              <w:t>15 U.S.C. §§ 1681a(g), 1681e(b), 1681g(a), 1681i(a), (d)</w:t>
            </w:r>
          </w:p>
        </w:tc>
        <w:tc>
          <w:tcPr>
            <w:tcW w:w="3168" w:type="dxa"/>
          </w:tcPr>
          <w:p w14:paraId="182CBD62" w14:textId="77777777" w:rsidR="00756B19" w:rsidRPr="00566B6A" w:rsidRDefault="00F247EE">
            <w:pPr>
              <w:rPr>
                <w:rFonts w:ascii="Courier New" w:hAnsi="Courier New" w:cs="Courier New"/>
                <w:sz w:val="22"/>
              </w:rPr>
            </w:pPr>
            <w:r w:rsidRPr="00566B6A">
              <w:rPr>
                <w:rFonts w:ascii="Courier New" w:hAnsi="Courier New" w:cs="Courier New"/>
                <w:sz w:val="22"/>
              </w:rPr>
              <w:t>Personal identifiers and employer information in the consumer file; disclosure, accuracy, reinvestigation, correction, and deletion</w:t>
            </w:r>
          </w:p>
        </w:tc>
        <w:tc>
          <w:tcPr>
            <w:tcW w:w="3456" w:type="dxa"/>
          </w:tcPr>
          <w:p w14:paraId="076A09AF" w14:textId="77777777" w:rsidR="00756B19" w:rsidRPr="00566B6A" w:rsidRDefault="00F247EE">
            <w:pPr>
              <w:rPr>
                <w:rFonts w:ascii="Courier New" w:hAnsi="Courier New" w:cs="Courier New"/>
                <w:sz w:val="22"/>
              </w:rPr>
            </w:pPr>
            <w:r w:rsidRPr="00566B6A">
              <w:rPr>
                <w:rFonts w:ascii="Courier New" w:hAnsi="Courier New" w:cs="Courier New"/>
                <w:sz w:val="22"/>
              </w:rPr>
              <w:t>Free reasonable reinvestigation; revised report; prompt deletion or modification of inaccurate, incomplete, or unverifiable information; reinsertion safeguards</w:t>
            </w:r>
          </w:p>
        </w:tc>
        <w:tc>
          <w:tcPr>
            <w:tcW w:w="3888" w:type="dxa"/>
          </w:tcPr>
          <w:p w14:paraId="0A023114" w14:textId="77777777" w:rsidR="00756B19" w:rsidRPr="00566B6A" w:rsidRDefault="00F247EE">
            <w:pPr>
              <w:rPr>
                <w:rFonts w:ascii="Courier New" w:hAnsi="Courier New" w:cs="Courier New"/>
                <w:sz w:val="22"/>
              </w:rPr>
            </w:pPr>
            <w:r w:rsidRPr="00566B6A">
              <w:rPr>
                <w:rFonts w:ascii="Courier New" w:hAnsi="Courier New" w:cs="Courier New"/>
                <w:sz w:val="22"/>
              </w:rPr>
              <w:t>Credit-report page; proof of identity/current address; employer records; source request; dispute confirmation; revised report</w:t>
            </w:r>
          </w:p>
        </w:tc>
      </w:tr>
      <w:tr w:rsidR="00756B19" w:rsidRPr="00566B6A" w14:paraId="01D15742" w14:textId="77777777">
        <w:trPr>
          <w:jc w:val="center"/>
        </w:trPr>
        <w:tc>
          <w:tcPr>
            <w:tcW w:w="1440" w:type="dxa"/>
          </w:tcPr>
          <w:p w14:paraId="4FA11180"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71294B37"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58377683"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62CA7167"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0B6D7941"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1CA34029" w14:textId="77777777">
        <w:trPr>
          <w:jc w:val="center"/>
        </w:trPr>
        <w:tc>
          <w:tcPr>
            <w:tcW w:w="1440" w:type="dxa"/>
          </w:tcPr>
          <w:p w14:paraId="570D2BA2"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Federal Regulation</w:t>
            </w:r>
          </w:p>
        </w:tc>
        <w:tc>
          <w:tcPr>
            <w:tcW w:w="2448" w:type="dxa"/>
          </w:tcPr>
          <w:p w14:paraId="2F4FC996"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22F540E8" w14:textId="77777777" w:rsidR="00756B19" w:rsidRPr="00566B6A" w:rsidRDefault="00F247EE">
            <w:pPr>
              <w:rPr>
                <w:rFonts w:ascii="Courier New" w:hAnsi="Courier New" w:cs="Courier New"/>
                <w:sz w:val="22"/>
              </w:rPr>
            </w:pPr>
            <w:r w:rsidRPr="00566B6A">
              <w:rPr>
                <w:rFonts w:ascii="Courier New" w:hAnsi="Courier New" w:cs="Courier New"/>
                <w:sz w:val="22"/>
              </w:rPr>
              <w:t>Direct-furnisher dispute exception for identifying information, addresses, telephone numbers, and past or present employers</w:t>
            </w:r>
          </w:p>
        </w:tc>
        <w:tc>
          <w:tcPr>
            <w:tcW w:w="3456" w:type="dxa"/>
          </w:tcPr>
          <w:p w14:paraId="35C7CDB6" w14:textId="77777777" w:rsidR="00756B19" w:rsidRPr="00566B6A" w:rsidRDefault="00F247EE">
            <w:pPr>
              <w:rPr>
                <w:rFonts w:ascii="Courier New" w:hAnsi="Courier New" w:cs="Courier New"/>
                <w:sz w:val="22"/>
              </w:rPr>
            </w:pPr>
            <w:r w:rsidRPr="00566B6A">
              <w:rPr>
                <w:rFonts w:ascii="Courier New" w:hAnsi="Courier New" w:cs="Courier New"/>
                <w:sz w:val="22"/>
              </w:rPr>
              <w:t>Routes the primary identifying-information dispute to the consumer reporting agency; CRA-to-furnisher duties may apply after agency notice</w:t>
            </w:r>
          </w:p>
        </w:tc>
        <w:tc>
          <w:tcPr>
            <w:tcW w:w="3888" w:type="dxa"/>
          </w:tcPr>
          <w:p w14:paraId="4D2B9941" w14:textId="77777777" w:rsidR="00756B19" w:rsidRPr="00566B6A" w:rsidRDefault="00F247EE">
            <w:pPr>
              <w:rPr>
                <w:rFonts w:ascii="Courier New" w:hAnsi="Courier New" w:cs="Courier New"/>
                <w:sz w:val="22"/>
              </w:rPr>
            </w:pPr>
            <w:r w:rsidRPr="00566B6A">
              <w:rPr>
                <w:rFonts w:ascii="Courier New" w:hAnsi="Courier New" w:cs="Courier New"/>
                <w:sz w:val="22"/>
              </w:rPr>
              <w:t>Avoid misrouting; preserve bureau submission, supporting documents, transmission record, and investigation results</w:t>
            </w:r>
          </w:p>
        </w:tc>
      </w:tr>
    </w:tbl>
    <w:p w14:paraId="02A6E13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B — STATE CASE LAW LIBRARY (REQUIRED)</w:t>
      </w:r>
    </w:p>
    <w:p w14:paraId="571A1F31"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Puerto Rico (PR)</w:t>
      </w:r>
    </w:p>
    <w:p w14:paraId="202B8774"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Educational module — no liability conclusions or invented citations. The cases below are Puerto Rico Supreme Court decisions addressing DACO authority, consumer deception, or collection agencies.</w:t>
      </w:r>
    </w:p>
    <w:p w14:paraId="40F81FC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3AF2E37" w14:textId="77777777">
        <w:trPr>
          <w:cantSplit/>
          <w:tblHeader/>
          <w:jc w:val="center"/>
        </w:trPr>
        <w:tc>
          <w:tcPr>
            <w:tcW w:w="2232" w:type="dxa"/>
            <w:shd w:val="clear" w:color="auto" w:fill="D9EAF7"/>
            <w:tcMar>
              <w:top w:w="55" w:type="dxa"/>
              <w:left w:w="55" w:type="dxa"/>
              <w:bottom w:w="55" w:type="dxa"/>
              <w:right w:w="55" w:type="dxa"/>
            </w:tcMar>
            <w:vAlign w:val="center"/>
          </w:tcPr>
          <w:p w14:paraId="09E8807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379642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1A73DC7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69DD40A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68054F4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EC055F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05154CF" w14:textId="77777777">
        <w:trPr>
          <w:cantSplit/>
          <w:jc w:val="center"/>
        </w:trPr>
        <w:tc>
          <w:tcPr>
            <w:tcW w:w="2232" w:type="dxa"/>
            <w:tcMar>
              <w:top w:w="50" w:type="dxa"/>
              <w:left w:w="55" w:type="dxa"/>
              <w:bottom w:w="50" w:type="dxa"/>
              <w:right w:w="55" w:type="dxa"/>
            </w:tcMar>
          </w:tcPr>
          <w:p w14:paraId="128CB80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Ortiz Rolón v. Armando Soler Auto Sales, Inc.</w:t>
            </w:r>
          </w:p>
        </w:tc>
        <w:tc>
          <w:tcPr>
            <w:tcW w:w="1152" w:type="dxa"/>
            <w:tcMar>
              <w:top w:w="50" w:type="dxa"/>
              <w:left w:w="55" w:type="dxa"/>
              <w:bottom w:w="50" w:type="dxa"/>
              <w:right w:w="55" w:type="dxa"/>
            </w:tcMar>
          </w:tcPr>
          <w:p w14:paraId="3B7C4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 Sup. Ct.</w:t>
            </w:r>
          </w:p>
        </w:tc>
        <w:tc>
          <w:tcPr>
            <w:tcW w:w="748" w:type="dxa"/>
            <w:tcMar>
              <w:top w:w="50" w:type="dxa"/>
              <w:left w:w="55" w:type="dxa"/>
              <w:bottom w:w="50" w:type="dxa"/>
              <w:right w:w="55" w:type="dxa"/>
            </w:tcMar>
          </w:tcPr>
          <w:p w14:paraId="29F9D2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2019</w:t>
            </w:r>
          </w:p>
        </w:tc>
        <w:tc>
          <w:tcPr>
            <w:tcW w:w="2088" w:type="dxa"/>
            <w:tcMar>
              <w:top w:w="50" w:type="dxa"/>
              <w:left w:w="55" w:type="dxa"/>
              <w:bottom w:w="50" w:type="dxa"/>
              <w:right w:w="55" w:type="dxa"/>
            </w:tcMar>
          </w:tcPr>
          <w:p w14:paraId="701025B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202 D.P.R. 689; 2019 TSPR 109</w:t>
            </w:r>
          </w:p>
        </w:tc>
        <w:tc>
          <w:tcPr>
            <w:tcW w:w="4536" w:type="dxa"/>
            <w:tcMar>
              <w:top w:w="50" w:type="dxa"/>
              <w:left w:w="55" w:type="dxa"/>
              <w:bottom w:w="50" w:type="dxa"/>
              <w:right w:w="55" w:type="dxa"/>
            </w:tcMar>
          </w:tcPr>
          <w:p w14:paraId="368304C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Recognized DACO authority to order restitution after a deceptive used-vehicle sale and addressed relief involving the dealer, financer, and statutory surety.</w:t>
            </w:r>
          </w:p>
        </w:tc>
        <w:tc>
          <w:tcPr>
            <w:tcW w:w="3643" w:type="dxa"/>
            <w:tcMar>
              <w:top w:w="50" w:type="dxa"/>
              <w:left w:w="55" w:type="dxa"/>
              <w:bottom w:w="50" w:type="dxa"/>
              <w:right w:w="55" w:type="dxa"/>
            </w:tcMar>
          </w:tcPr>
          <w:p w14:paraId="5B5AAAA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sales contract, ads, vehicle and title records, financing, warranty, DACO filings, and dealer-bond information.</w:t>
            </w:r>
          </w:p>
        </w:tc>
      </w:tr>
      <w:tr w:rsidR="00756B19" w:rsidRPr="00566B6A" w14:paraId="564926D0" w14:textId="77777777">
        <w:trPr>
          <w:cantSplit/>
          <w:jc w:val="center"/>
        </w:trPr>
        <w:tc>
          <w:tcPr>
            <w:tcW w:w="2232" w:type="dxa"/>
            <w:shd w:val="clear" w:color="auto" w:fill="F7FAFC"/>
            <w:tcMar>
              <w:top w:w="50" w:type="dxa"/>
              <w:left w:w="55" w:type="dxa"/>
              <w:bottom w:w="50" w:type="dxa"/>
              <w:right w:w="55" w:type="dxa"/>
            </w:tcMar>
          </w:tcPr>
          <w:p w14:paraId="0B2F4D0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Medina Sánchez v. Swiss Chalet, Inc.</w:t>
            </w:r>
          </w:p>
        </w:tc>
        <w:tc>
          <w:tcPr>
            <w:tcW w:w="1152" w:type="dxa"/>
            <w:shd w:val="clear" w:color="auto" w:fill="F7FAFC"/>
            <w:tcMar>
              <w:top w:w="50" w:type="dxa"/>
              <w:left w:w="55" w:type="dxa"/>
              <w:bottom w:w="50" w:type="dxa"/>
              <w:right w:w="55" w:type="dxa"/>
            </w:tcMar>
          </w:tcPr>
          <w:p w14:paraId="30AA2E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 Sup. Ct.</w:t>
            </w:r>
          </w:p>
        </w:tc>
        <w:tc>
          <w:tcPr>
            <w:tcW w:w="748" w:type="dxa"/>
            <w:shd w:val="clear" w:color="auto" w:fill="F7FAFC"/>
            <w:tcMar>
              <w:top w:w="50" w:type="dxa"/>
              <w:left w:w="55" w:type="dxa"/>
              <w:bottom w:w="50" w:type="dxa"/>
              <w:right w:w="55" w:type="dxa"/>
            </w:tcMar>
          </w:tcPr>
          <w:p w14:paraId="0BC015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2010</w:t>
            </w:r>
          </w:p>
        </w:tc>
        <w:tc>
          <w:tcPr>
            <w:tcW w:w="2088" w:type="dxa"/>
            <w:shd w:val="clear" w:color="auto" w:fill="F7FAFC"/>
            <w:tcMar>
              <w:top w:w="50" w:type="dxa"/>
              <w:left w:w="55" w:type="dxa"/>
              <w:bottom w:w="50" w:type="dxa"/>
              <w:right w:w="55" w:type="dxa"/>
            </w:tcMar>
          </w:tcPr>
          <w:p w14:paraId="6313DF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178 D.P.R. 363; 2010 TSPR 21</w:t>
            </w:r>
          </w:p>
        </w:tc>
        <w:tc>
          <w:tcPr>
            <w:tcW w:w="4536" w:type="dxa"/>
            <w:shd w:val="clear" w:color="auto" w:fill="F7FAFC"/>
            <w:tcMar>
              <w:top w:w="50" w:type="dxa"/>
              <w:left w:w="55" w:type="dxa"/>
              <w:bottom w:w="50" w:type="dxa"/>
              <w:right w:w="55" w:type="dxa"/>
            </w:tcMar>
          </w:tcPr>
          <w:p w14:paraId="0C65D9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DACO could compensate a housing purchaser for a material false representation about apartment size under consumer-housing law.</w:t>
            </w:r>
          </w:p>
        </w:tc>
        <w:tc>
          <w:tcPr>
            <w:tcW w:w="3643" w:type="dxa"/>
            <w:shd w:val="clear" w:color="auto" w:fill="F7FAFC"/>
            <w:tcMar>
              <w:top w:w="50" w:type="dxa"/>
              <w:left w:w="55" w:type="dxa"/>
              <w:bottom w:w="50" w:type="dxa"/>
              <w:right w:w="55" w:type="dxa"/>
            </w:tcMar>
          </w:tcPr>
          <w:p w14:paraId="3A5126C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ads, plans, contracts, appraisals, measurements, financing, complaints, and proof linking the statement to loss.</w:t>
            </w:r>
          </w:p>
        </w:tc>
      </w:tr>
    </w:tbl>
    <w:p w14:paraId="4F62CBD5" w14:textId="77777777" w:rsidR="00756B19" w:rsidRPr="00566B6A" w:rsidRDefault="00756B19">
      <w:pPr>
        <w:spacing w:after="20"/>
        <w:rPr>
          <w:rFonts w:ascii="Courier New" w:hAnsi="Courier New" w:cs="Courier New"/>
          <w:sz w:val="22"/>
        </w:rPr>
      </w:pPr>
    </w:p>
    <w:p w14:paraId="1C32952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18B8F6A0" w14:textId="77777777">
        <w:trPr>
          <w:cantSplit/>
          <w:tblHeader/>
          <w:jc w:val="center"/>
        </w:trPr>
        <w:tc>
          <w:tcPr>
            <w:tcW w:w="2232" w:type="dxa"/>
            <w:shd w:val="clear" w:color="auto" w:fill="D9EAF7"/>
            <w:tcMar>
              <w:top w:w="55" w:type="dxa"/>
              <w:left w:w="55" w:type="dxa"/>
              <w:bottom w:w="55" w:type="dxa"/>
              <w:right w:w="55" w:type="dxa"/>
            </w:tcMar>
            <w:vAlign w:val="center"/>
          </w:tcPr>
          <w:p w14:paraId="5B90CCC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5D0D30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5DFC5E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5C2E9C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1908DB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199149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05F12712" w14:textId="77777777">
        <w:trPr>
          <w:cantSplit/>
          <w:jc w:val="center"/>
        </w:trPr>
        <w:tc>
          <w:tcPr>
            <w:tcW w:w="2232" w:type="dxa"/>
            <w:tcMar>
              <w:top w:w="50" w:type="dxa"/>
              <w:left w:w="55" w:type="dxa"/>
              <w:bottom w:w="50" w:type="dxa"/>
              <w:right w:w="55" w:type="dxa"/>
            </w:tcMar>
          </w:tcPr>
          <w:p w14:paraId="0ADA0A1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Domínguez Rivera v. Tribunal Superior</w:t>
            </w:r>
          </w:p>
        </w:tc>
        <w:tc>
          <w:tcPr>
            <w:tcW w:w="1152" w:type="dxa"/>
            <w:tcMar>
              <w:top w:w="50" w:type="dxa"/>
              <w:left w:w="55" w:type="dxa"/>
              <w:bottom w:w="50" w:type="dxa"/>
              <w:right w:w="55" w:type="dxa"/>
            </w:tcMar>
          </w:tcPr>
          <w:p w14:paraId="69C2673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 Sup. Ct.</w:t>
            </w:r>
          </w:p>
        </w:tc>
        <w:tc>
          <w:tcPr>
            <w:tcW w:w="748" w:type="dxa"/>
            <w:tcMar>
              <w:top w:w="50" w:type="dxa"/>
              <w:left w:w="55" w:type="dxa"/>
              <w:bottom w:w="50" w:type="dxa"/>
              <w:right w:w="55" w:type="dxa"/>
            </w:tcMar>
          </w:tcPr>
          <w:p w14:paraId="61FE14F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1974</w:t>
            </w:r>
          </w:p>
        </w:tc>
        <w:tc>
          <w:tcPr>
            <w:tcW w:w="2088" w:type="dxa"/>
            <w:tcMar>
              <w:top w:w="50" w:type="dxa"/>
              <w:left w:w="55" w:type="dxa"/>
              <w:bottom w:w="50" w:type="dxa"/>
              <w:right w:w="55" w:type="dxa"/>
            </w:tcMar>
          </w:tcPr>
          <w:p w14:paraId="6B7781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103 D.P.R. 117</w:t>
            </w:r>
          </w:p>
        </w:tc>
        <w:tc>
          <w:tcPr>
            <w:tcW w:w="4536" w:type="dxa"/>
            <w:tcMar>
              <w:top w:w="50" w:type="dxa"/>
              <w:left w:w="55" w:type="dxa"/>
              <w:bottom w:w="50" w:type="dxa"/>
              <w:right w:w="55" w:type="dxa"/>
            </w:tcMar>
          </w:tcPr>
          <w:p w14:paraId="62B1EA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Explained that the Collection Agencies Act protects debtors and that its certified pre-suit demand requirement concerns personal jurisdiction and may be waived.</w:t>
            </w:r>
          </w:p>
        </w:tc>
        <w:tc>
          <w:tcPr>
            <w:tcW w:w="3643" w:type="dxa"/>
            <w:tcMar>
              <w:top w:w="50" w:type="dxa"/>
              <w:left w:w="55" w:type="dxa"/>
              <w:bottom w:w="50" w:type="dxa"/>
              <w:right w:w="55" w:type="dxa"/>
            </w:tcMar>
          </w:tcPr>
          <w:p w14:paraId="5E6C90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certified demand, receipt, address, complaint, agency status, ledger, and any appearance or waiver issue.</w:t>
            </w:r>
          </w:p>
        </w:tc>
      </w:tr>
    </w:tbl>
    <w:p w14:paraId="0F748E78" w14:textId="77777777" w:rsidR="00756B19" w:rsidRPr="00566B6A" w:rsidRDefault="00756B19">
      <w:pPr>
        <w:spacing w:after="20"/>
        <w:rPr>
          <w:rFonts w:ascii="Courier New" w:hAnsi="Courier New" w:cs="Courier New"/>
          <w:sz w:val="22"/>
        </w:rPr>
      </w:pPr>
    </w:p>
    <w:p w14:paraId="058A5C8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E0F2305" w14:textId="77777777">
        <w:trPr>
          <w:cantSplit/>
          <w:tblHeader/>
          <w:jc w:val="center"/>
        </w:trPr>
        <w:tc>
          <w:tcPr>
            <w:tcW w:w="2232" w:type="dxa"/>
            <w:shd w:val="clear" w:color="auto" w:fill="D9EAF7"/>
            <w:tcMar>
              <w:top w:w="55" w:type="dxa"/>
              <w:left w:w="55" w:type="dxa"/>
              <w:bottom w:w="55" w:type="dxa"/>
              <w:right w:w="55" w:type="dxa"/>
            </w:tcMar>
            <w:vAlign w:val="center"/>
          </w:tcPr>
          <w:p w14:paraId="280C4CB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AE889C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45FAB46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DE842F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25DCC4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371C13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2A128B0D" w14:textId="77777777">
        <w:trPr>
          <w:cantSplit/>
          <w:jc w:val="center"/>
        </w:trPr>
        <w:tc>
          <w:tcPr>
            <w:tcW w:w="2232" w:type="dxa"/>
            <w:tcMar>
              <w:top w:w="50" w:type="dxa"/>
              <w:left w:w="55" w:type="dxa"/>
              <w:bottom w:w="50" w:type="dxa"/>
              <w:right w:w="55" w:type="dxa"/>
            </w:tcMar>
          </w:tcPr>
          <w:p w14:paraId="15BF32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Ortiz Rolón v. Armando Soler Auto Sales, Inc.</w:t>
            </w:r>
          </w:p>
        </w:tc>
        <w:tc>
          <w:tcPr>
            <w:tcW w:w="1152" w:type="dxa"/>
            <w:tcMar>
              <w:top w:w="50" w:type="dxa"/>
              <w:left w:w="55" w:type="dxa"/>
              <w:bottom w:w="50" w:type="dxa"/>
              <w:right w:w="55" w:type="dxa"/>
            </w:tcMar>
          </w:tcPr>
          <w:p w14:paraId="630E02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 Sup. Ct.</w:t>
            </w:r>
          </w:p>
        </w:tc>
        <w:tc>
          <w:tcPr>
            <w:tcW w:w="748" w:type="dxa"/>
            <w:tcMar>
              <w:top w:w="50" w:type="dxa"/>
              <w:left w:w="55" w:type="dxa"/>
              <w:bottom w:w="50" w:type="dxa"/>
              <w:right w:w="55" w:type="dxa"/>
            </w:tcMar>
          </w:tcPr>
          <w:p w14:paraId="2B76484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2019</w:t>
            </w:r>
          </w:p>
        </w:tc>
        <w:tc>
          <w:tcPr>
            <w:tcW w:w="2088" w:type="dxa"/>
            <w:tcMar>
              <w:top w:w="50" w:type="dxa"/>
              <w:left w:w="55" w:type="dxa"/>
              <w:bottom w:w="50" w:type="dxa"/>
              <w:right w:w="55" w:type="dxa"/>
            </w:tcMar>
          </w:tcPr>
          <w:p w14:paraId="73C05E2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202 D.P.R. 689; 2019 TSPR 109</w:t>
            </w:r>
          </w:p>
        </w:tc>
        <w:tc>
          <w:tcPr>
            <w:tcW w:w="4536" w:type="dxa"/>
            <w:tcMar>
              <w:top w:w="50" w:type="dxa"/>
              <w:left w:w="55" w:type="dxa"/>
              <w:bottom w:w="50" w:type="dxa"/>
              <w:right w:w="55" w:type="dxa"/>
            </w:tcMar>
          </w:tcPr>
          <w:p w14:paraId="35E9EA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Recognized DACO authority to order restitution after a deceptive used-vehicle sale and addressed relief involving the dealer, financer, and statutory surety.</w:t>
            </w:r>
          </w:p>
        </w:tc>
        <w:tc>
          <w:tcPr>
            <w:tcW w:w="3643" w:type="dxa"/>
            <w:tcMar>
              <w:top w:w="50" w:type="dxa"/>
              <w:left w:w="55" w:type="dxa"/>
              <w:bottom w:w="50" w:type="dxa"/>
              <w:right w:w="55" w:type="dxa"/>
            </w:tcMar>
          </w:tcPr>
          <w:p w14:paraId="69E8FBD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sales contract, ads, vehicle and title records, financing, warranty, DACO filings, and dealer-bond information.</w:t>
            </w:r>
          </w:p>
        </w:tc>
      </w:tr>
      <w:tr w:rsidR="00756B19" w:rsidRPr="00566B6A" w14:paraId="26093C36" w14:textId="77777777">
        <w:trPr>
          <w:cantSplit/>
          <w:jc w:val="center"/>
        </w:trPr>
        <w:tc>
          <w:tcPr>
            <w:tcW w:w="2232" w:type="dxa"/>
            <w:shd w:val="clear" w:color="auto" w:fill="F7FAFC"/>
            <w:tcMar>
              <w:top w:w="50" w:type="dxa"/>
              <w:left w:w="55" w:type="dxa"/>
              <w:bottom w:w="50" w:type="dxa"/>
              <w:right w:w="55" w:type="dxa"/>
            </w:tcMar>
          </w:tcPr>
          <w:p w14:paraId="246D35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Medina Sánchez v. Swiss Chalet, Inc.</w:t>
            </w:r>
          </w:p>
        </w:tc>
        <w:tc>
          <w:tcPr>
            <w:tcW w:w="1152" w:type="dxa"/>
            <w:shd w:val="clear" w:color="auto" w:fill="F7FAFC"/>
            <w:tcMar>
              <w:top w:w="50" w:type="dxa"/>
              <w:left w:w="55" w:type="dxa"/>
              <w:bottom w:w="50" w:type="dxa"/>
              <w:right w:w="55" w:type="dxa"/>
            </w:tcMar>
          </w:tcPr>
          <w:p w14:paraId="0CB14AC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 Sup. Ct.</w:t>
            </w:r>
          </w:p>
        </w:tc>
        <w:tc>
          <w:tcPr>
            <w:tcW w:w="748" w:type="dxa"/>
            <w:shd w:val="clear" w:color="auto" w:fill="F7FAFC"/>
            <w:tcMar>
              <w:top w:w="50" w:type="dxa"/>
              <w:left w:w="55" w:type="dxa"/>
              <w:bottom w:w="50" w:type="dxa"/>
              <w:right w:w="55" w:type="dxa"/>
            </w:tcMar>
          </w:tcPr>
          <w:p w14:paraId="088D68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2010</w:t>
            </w:r>
          </w:p>
        </w:tc>
        <w:tc>
          <w:tcPr>
            <w:tcW w:w="2088" w:type="dxa"/>
            <w:shd w:val="clear" w:color="auto" w:fill="F7FAFC"/>
            <w:tcMar>
              <w:top w:w="50" w:type="dxa"/>
              <w:left w:w="55" w:type="dxa"/>
              <w:bottom w:w="50" w:type="dxa"/>
              <w:right w:w="55" w:type="dxa"/>
            </w:tcMar>
          </w:tcPr>
          <w:p w14:paraId="33FCBA3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178 D.P.R. 363; 2010 TSPR 21</w:t>
            </w:r>
          </w:p>
        </w:tc>
        <w:tc>
          <w:tcPr>
            <w:tcW w:w="4536" w:type="dxa"/>
            <w:shd w:val="clear" w:color="auto" w:fill="F7FAFC"/>
            <w:tcMar>
              <w:top w:w="50" w:type="dxa"/>
              <w:left w:w="55" w:type="dxa"/>
              <w:bottom w:w="50" w:type="dxa"/>
              <w:right w:w="55" w:type="dxa"/>
            </w:tcMar>
          </w:tcPr>
          <w:p w14:paraId="018047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DACO could compensate a housing purchaser for a material false representation about apartment size under consumer-housing law.</w:t>
            </w:r>
          </w:p>
        </w:tc>
        <w:tc>
          <w:tcPr>
            <w:tcW w:w="3643" w:type="dxa"/>
            <w:shd w:val="clear" w:color="auto" w:fill="F7FAFC"/>
            <w:tcMar>
              <w:top w:w="50" w:type="dxa"/>
              <w:left w:w="55" w:type="dxa"/>
              <w:bottom w:w="50" w:type="dxa"/>
              <w:right w:w="55" w:type="dxa"/>
            </w:tcMar>
          </w:tcPr>
          <w:p w14:paraId="314458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ads, plans, contracts, appraisals, measurements, financing, complaints, and proof linking the statement to loss.</w:t>
            </w:r>
          </w:p>
        </w:tc>
      </w:tr>
      <w:tr w:rsidR="00756B19" w:rsidRPr="00566B6A" w14:paraId="4415A3DF" w14:textId="77777777">
        <w:trPr>
          <w:cantSplit/>
          <w:jc w:val="center"/>
        </w:trPr>
        <w:tc>
          <w:tcPr>
            <w:tcW w:w="2232" w:type="dxa"/>
            <w:tcMar>
              <w:top w:w="50" w:type="dxa"/>
              <w:left w:w="55" w:type="dxa"/>
              <w:bottom w:w="50" w:type="dxa"/>
              <w:right w:w="55" w:type="dxa"/>
            </w:tcMar>
          </w:tcPr>
          <w:p w14:paraId="4B579E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Domínguez Rivera v. Tribunal Superior</w:t>
            </w:r>
          </w:p>
        </w:tc>
        <w:tc>
          <w:tcPr>
            <w:tcW w:w="1152" w:type="dxa"/>
            <w:tcMar>
              <w:top w:w="50" w:type="dxa"/>
              <w:left w:w="55" w:type="dxa"/>
              <w:bottom w:w="50" w:type="dxa"/>
              <w:right w:w="55" w:type="dxa"/>
            </w:tcMar>
          </w:tcPr>
          <w:p w14:paraId="7B5BE9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 Sup. Ct.</w:t>
            </w:r>
          </w:p>
        </w:tc>
        <w:tc>
          <w:tcPr>
            <w:tcW w:w="748" w:type="dxa"/>
            <w:tcMar>
              <w:top w:w="50" w:type="dxa"/>
              <w:left w:w="55" w:type="dxa"/>
              <w:bottom w:w="50" w:type="dxa"/>
              <w:right w:w="55" w:type="dxa"/>
            </w:tcMar>
          </w:tcPr>
          <w:p w14:paraId="100CFD6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1974</w:t>
            </w:r>
          </w:p>
        </w:tc>
        <w:tc>
          <w:tcPr>
            <w:tcW w:w="2088" w:type="dxa"/>
            <w:tcMar>
              <w:top w:w="50" w:type="dxa"/>
              <w:left w:w="55" w:type="dxa"/>
              <w:bottom w:w="50" w:type="dxa"/>
              <w:right w:w="55" w:type="dxa"/>
            </w:tcMar>
          </w:tcPr>
          <w:p w14:paraId="5D62FA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103 D.P.R. 117</w:t>
            </w:r>
          </w:p>
        </w:tc>
        <w:tc>
          <w:tcPr>
            <w:tcW w:w="4536" w:type="dxa"/>
            <w:tcMar>
              <w:top w:w="50" w:type="dxa"/>
              <w:left w:w="55" w:type="dxa"/>
              <w:bottom w:w="50" w:type="dxa"/>
              <w:right w:w="55" w:type="dxa"/>
            </w:tcMar>
          </w:tcPr>
          <w:p w14:paraId="392406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Explained that the Collection Agencies Act protects debtors and that its certified pre-suit demand requirement concerns personal jurisdiction and may be waived.</w:t>
            </w:r>
          </w:p>
        </w:tc>
        <w:tc>
          <w:tcPr>
            <w:tcW w:w="3643" w:type="dxa"/>
            <w:tcMar>
              <w:top w:w="50" w:type="dxa"/>
              <w:left w:w="55" w:type="dxa"/>
              <w:bottom w:w="50" w:type="dxa"/>
              <w:right w:w="55" w:type="dxa"/>
            </w:tcMar>
          </w:tcPr>
          <w:p w14:paraId="361E50F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certified demand, receipt, address, complaint, agency status, ledger, and any appearance or waiver issue.</w:t>
            </w:r>
          </w:p>
        </w:tc>
      </w:tr>
    </w:tbl>
    <w:p w14:paraId="0D3C7111" w14:textId="77777777" w:rsidR="00756B19" w:rsidRPr="00566B6A" w:rsidRDefault="00756B19">
      <w:pPr>
        <w:spacing w:after="20"/>
        <w:rPr>
          <w:rFonts w:ascii="Courier New" w:hAnsi="Courier New" w:cs="Courier New"/>
          <w:sz w:val="22"/>
        </w:rPr>
      </w:pPr>
    </w:p>
    <w:p w14:paraId="62CA3E7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C — FCRA PREEMPTION + STATE-LAW SAFE ZONES (WITH CITATIONS)</w:t>
      </w:r>
    </w:p>
    <w:p w14:paraId="03CC2CC9"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4ADED9A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6250FC8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57F5134C" w14:textId="77777777" w:rsidR="00756B19" w:rsidRDefault="00F247EE">
      <w:pPr>
        <w:spacing w:after="60"/>
        <w:rPr>
          <w:rFonts w:ascii="Courier New" w:hAnsi="Courier New" w:cs="Courier New"/>
          <w:sz w:val="22"/>
        </w:rPr>
      </w:pPr>
      <w:r w:rsidRPr="00566B6A">
        <w:rPr>
          <w:rFonts w:ascii="Courier New" w:hAnsi="Courier New" w:cs="Courier New"/>
          <w:sz w:val="22"/>
        </w:rPr>
        <w:t>Educational summary: Federal law generally governs CRA and furnisher duties concerning accuracy, reinvestigation, dispute processing, and reporting. Puerto Rico claims that duplicate or conflict with those duties may be preemption-sensitive, while distinct local credit-reporting, medical-debt, security-freeze, collection, identity-theft, or breach duties may require separate analysis.</w:t>
      </w:r>
    </w:p>
    <w:p w14:paraId="4E3D232F" w14:textId="77777777" w:rsidR="00964317" w:rsidRPr="00566B6A" w:rsidRDefault="00964317">
      <w:pPr>
        <w:spacing w:after="60"/>
        <w:rPr>
          <w:rFonts w:ascii="Courier New" w:hAnsi="Courier New" w:cs="Courier New"/>
          <w:sz w:val="22"/>
        </w:rPr>
      </w:pPr>
    </w:p>
    <w:p w14:paraId="6FF22A4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6C279385" w14:textId="77777777">
        <w:trPr>
          <w:cantSplit/>
          <w:tblHeader/>
          <w:jc w:val="center"/>
        </w:trPr>
        <w:tc>
          <w:tcPr>
            <w:tcW w:w="2232" w:type="dxa"/>
            <w:shd w:val="clear" w:color="auto" w:fill="D9EAF7"/>
            <w:tcMar>
              <w:top w:w="55" w:type="dxa"/>
              <w:left w:w="55" w:type="dxa"/>
              <w:bottom w:w="55" w:type="dxa"/>
              <w:right w:w="55" w:type="dxa"/>
            </w:tcMar>
            <w:vAlign w:val="center"/>
          </w:tcPr>
          <w:p w14:paraId="384D575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0A1D55A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Puerto Rico Authority</w:t>
            </w:r>
          </w:p>
        </w:tc>
        <w:tc>
          <w:tcPr>
            <w:tcW w:w="1080" w:type="dxa"/>
            <w:shd w:val="clear" w:color="auto" w:fill="D9EAF7"/>
            <w:tcMar>
              <w:top w:w="55" w:type="dxa"/>
              <w:left w:w="55" w:type="dxa"/>
              <w:bottom w:w="55" w:type="dxa"/>
              <w:right w:w="55" w:type="dxa"/>
            </w:tcMar>
            <w:vAlign w:val="center"/>
          </w:tcPr>
          <w:p w14:paraId="226B39A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Overlap</w:t>
            </w:r>
          </w:p>
        </w:tc>
        <w:tc>
          <w:tcPr>
            <w:tcW w:w="1224" w:type="dxa"/>
            <w:shd w:val="clear" w:color="auto" w:fill="D9EAF7"/>
            <w:tcMar>
              <w:top w:w="55" w:type="dxa"/>
              <w:left w:w="55" w:type="dxa"/>
              <w:bottom w:w="55" w:type="dxa"/>
              <w:right w:w="55" w:type="dxa"/>
            </w:tcMar>
            <w:vAlign w:val="center"/>
          </w:tcPr>
          <w:p w14:paraId="068FF45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 Risk</w:t>
            </w:r>
          </w:p>
        </w:tc>
        <w:tc>
          <w:tcPr>
            <w:tcW w:w="6768" w:type="dxa"/>
            <w:shd w:val="clear" w:color="auto" w:fill="D9EAF7"/>
            <w:tcMar>
              <w:top w:w="55" w:type="dxa"/>
              <w:left w:w="55" w:type="dxa"/>
              <w:bottom w:w="55" w:type="dxa"/>
              <w:right w:w="55" w:type="dxa"/>
            </w:tcMar>
            <w:vAlign w:val="center"/>
          </w:tcPr>
          <w:p w14:paraId="5B9E8A2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755995F8" w14:textId="77777777">
        <w:trPr>
          <w:cantSplit/>
          <w:jc w:val="center"/>
        </w:trPr>
        <w:tc>
          <w:tcPr>
            <w:tcW w:w="2232" w:type="dxa"/>
            <w:tcMar>
              <w:top w:w="50" w:type="dxa"/>
              <w:left w:w="55" w:type="dxa"/>
              <w:bottom w:w="50" w:type="dxa"/>
              <w:right w:w="55" w:type="dxa"/>
            </w:tcMar>
          </w:tcPr>
          <w:p w14:paraId="455357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 reinvestigation</w:t>
            </w:r>
          </w:p>
        </w:tc>
        <w:tc>
          <w:tcPr>
            <w:tcW w:w="3096" w:type="dxa"/>
            <w:tcMar>
              <w:top w:w="50" w:type="dxa"/>
              <w:left w:w="55" w:type="dxa"/>
              <w:bottom w:w="50" w:type="dxa"/>
              <w:right w:w="55" w:type="dxa"/>
            </w:tcMar>
          </w:tcPr>
          <w:p w14:paraId="295DBD2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7 L.P.R.A. §§ 2031–2039; federal FCRA concepts</w:t>
            </w:r>
          </w:p>
        </w:tc>
        <w:tc>
          <w:tcPr>
            <w:tcW w:w="1080" w:type="dxa"/>
            <w:tcMar>
              <w:top w:w="50" w:type="dxa"/>
              <w:left w:w="55" w:type="dxa"/>
              <w:bottom w:w="50" w:type="dxa"/>
              <w:right w:w="55" w:type="dxa"/>
            </w:tcMar>
          </w:tcPr>
          <w:p w14:paraId="0C2D75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470759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7FF858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both dispute records; identify the distinct local duty and avoid inconsistent parallel standards.</w:t>
            </w:r>
          </w:p>
        </w:tc>
      </w:tr>
      <w:tr w:rsidR="00756B19" w:rsidRPr="00566B6A" w14:paraId="4F4323B2" w14:textId="77777777">
        <w:trPr>
          <w:cantSplit/>
          <w:jc w:val="center"/>
        </w:trPr>
        <w:tc>
          <w:tcPr>
            <w:tcW w:w="2232" w:type="dxa"/>
            <w:shd w:val="clear" w:color="auto" w:fill="F7FAFC"/>
            <w:tcMar>
              <w:top w:w="50" w:type="dxa"/>
              <w:left w:w="55" w:type="dxa"/>
              <w:bottom w:w="50" w:type="dxa"/>
              <w:right w:w="55" w:type="dxa"/>
            </w:tcMar>
          </w:tcPr>
          <w:p w14:paraId="08DB3CE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reporting duties</w:t>
            </w:r>
          </w:p>
        </w:tc>
        <w:tc>
          <w:tcPr>
            <w:tcW w:w="3096" w:type="dxa"/>
            <w:shd w:val="clear" w:color="auto" w:fill="F7FAFC"/>
            <w:tcMar>
              <w:top w:w="50" w:type="dxa"/>
              <w:left w:w="55" w:type="dxa"/>
              <w:bottom w:w="50" w:type="dxa"/>
              <w:right w:w="55" w:type="dxa"/>
            </w:tcMar>
          </w:tcPr>
          <w:p w14:paraId="5DBC8D2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7 L.P.R.A. §§ 2031–2039; Act 98-2026 medical debt</w:t>
            </w:r>
          </w:p>
        </w:tc>
        <w:tc>
          <w:tcPr>
            <w:tcW w:w="1080" w:type="dxa"/>
            <w:shd w:val="clear" w:color="auto" w:fill="F7FAFC"/>
            <w:tcMar>
              <w:top w:w="50" w:type="dxa"/>
              <w:left w:w="55" w:type="dxa"/>
              <w:bottom w:w="50" w:type="dxa"/>
              <w:right w:w="55" w:type="dxa"/>
            </w:tcMar>
          </w:tcPr>
          <w:p w14:paraId="25813C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69F757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50D3251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CRA notice and separately document prohibited medical-debt reporting.</w:t>
            </w:r>
          </w:p>
        </w:tc>
      </w:tr>
      <w:tr w:rsidR="00756B19" w:rsidRPr="00566B6A" w14:paraId="7CEFD54B" w14:textId="77777777">
        <w:trPr>
          <w:cantSplit/>
          <w:jc w:val="center"/>
        </w:trPr>
        <w:tc>
          <w:tcPr>
            <w:tcW w:w="2232" w:type="dxa"/>
            <w:tcMar>
              <w:top w:w="50" w:type="dxa"/>
              <w:left w:w="55" w:type="dxa"/>
              <w:bottom w:w="50" w:type="dxa"/>
              <w:right w:w="55" w:type="dxa"/>
            </w:tcMar>
          </w:tcPr>
          <w:p w14:paraId="5DBD47E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blocking</w:t>
            </w:r>
          </w:p>
        </w:tc>
        <w:tc>
          <w:tcPr>
            <w:tcW w:w="3096" w:type="dxa"/>
            <w:tcMar>
              <w:top w:w="50" w:type="dxa"/>
              <w:left w:w="55" w:type="dxa"/>
              <w:bottom w:w="50" w:type="dxa"/>
              <w:right w:w="55" w:type="dxa"/>
            </w:tcMar>
          </w:tcPr>
          <w:p w14:paraId="417CDD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33 L.P.R.A. § 4844; federal blocking</w:t>
            </w:r>
          </w:p>
        </w:tc>
        <w:tc>
          <w:tcPr>
            <w:tcW w:w="1080" w:type="dxa"/>
            <w:tcMar>
              <w:top w:w="50" w:type="dxa"/>
              <w:left w:w="55" w:type="dxa"/>
              <w:bottom w:w="50" w:type="dxa"/>
              <w:right w:w="55" w:type="dxa"/>
            </w:tcMar>
          </w:tcPr>
          <w:p w14:paraId="6E4C92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0AAEC3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6D875C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police/FTC reports, identity proof, disputed items, freeze records, and blocking requests.</w:t>
            </w:r>
          </w:p>
        </w:tc>
      </w:tr>
      <w:tr w:rsidR="00756B19" w:rsidRPr="00566B6A" w14:paraId="3C0A2B33" w14:textId="77777777">
        <w:trPr>
          <w:cantSplit/>
          <w:jc w:val="center"/>
        </w:trPr>
        <w:tc>
          <w:tcPr>
            <w:tcW w:w="2232" w:type="dxa"/>
            <w:shd w:val="clear" w:color="auto" w:fill="F7FAFC"/>
            <w:tcMar>
              <w:top w:w="50" w:type="dxa"/>
              <w:left w:w="55" w:type="dxa"/>
              <w:bottom w:w="50" w:type="dxa"/>
              <w:right w:w="55" w:type="dxa"/>
            </w:tcMar>
          </w:tcPr>
          <w:p w14:paraId="17D6995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 collection conduct</w:t>
            </w:r>
          </w:p>
        </w:tc>
        <w:tc>
          <w:tcPr>
            <w:tcW w:w="3096" w:type="dxa"/>
            <w:shd w:val="clear" w:color="auto" w:fill="F7FAFC"/>
            <w:tcMar>
              <w:top w:w="50" w:type="dxa"/>
              <w:left w:w="55" w:type="dxa"/>
              <w:bottom w:w="50" w:type="dxa"/>
              <w:right w:w="55" w:type="dxa"/>
            </w:tcMar>
          </w:tcPr>
          <w:p w14:paraId="1EC5FC5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10 L.P.R.A. §§ 981–981s; FDCPA</w:t>
            </w:r>
          </w:p>
        </w:tc>
        <w:tc>
          <w:tcPr>
            <w:tcW w:w="1080" w:type="dxa"/>
            <w:shd w:val="clear" w:color="auto" w:fill="F7FAFC"/>
            <w:tcMar>
              <w:top w:w="50" w:type="dxa"/>
              <w:left w:w="55" w:type="dxa"/>
              <w:bottom w:w="50" w:type="dxa"/>
              <w:right w:w="55" w:type="dxa"/>
            </w:tcMar>
          </w:tcPr>
          <w:p w14:paraId="2C6D9B7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03F247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00BF0AB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communications, certified notice, license status, balances, and collection methods.</w:t>
            </w:r>
          </w:p>
        </w:tc>
      </w:tr>
      <w:tr w:rsidR="00756B19" w:rsidRPr="00566B6A" w14:paraId="6C632A57" w14:textId="77777777">
        <w:trPr>
          <w:cantSplit/>
          <w:jc w:val="center"/>
        </w:trPr>
        <w:tc>
          <w:tcPr>
            <w:tcW w:w="2232" w:type="dxa"/>
            <w:tcMar>
              <w:top w:w="50" w:type="dxa"/>
              <w:left w:w="55" w:type="dxa"/>
              <w:bottom w:w="50" w:type="dxa"/>
              <w:right w:w="55" w:type="dxa"/>
            </w:tcMar>
          </w:tcPr>
          <w:p w14:paraId="6D2829E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 violations</w:t>
            </w:r>
          </w:p>
        </w:tc>
        <w:tc>
          <w:tcPr>
            <w:tcW w:w="3096" w:type="dxa"/>
            <w:tcMar>
              <w:top w:w="50" w:type="dxa"/>
              <w:left w:w="55" w:type="dxa"/>
              <w:bottom w:w="50" w:type="dxa"/>
              <w:right w:w="55" w:type="dxa"/>
            </w:tcMar>
          </w:tcPr>
          <w:p w14:paraId="38DB86B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7 L.P.R.A. §§ 3131–3148</w:t>
            </w:r>
          </w:p>
        </w:tc>
        <w:tc>
          <w:tcPr>
            <w:tcW w:w="1080" w:type="dxa"/>
            <w:tcMar>
              <w:top w:w="50" w:type="dxa"/>
              <w:left w:w="55" w:type="dxa"/>
              <w:bottom w:w="50" w:type="dxa"/>
              <w:right w:w="55" w:type="dxa"/>
            </w:tcMar>
          </w:tcPr>
          <w:p w14:paraId="58CAE1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7A4499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tcMar>
              <w:top w:w="50" w:type="dxa"/>
              <w:left w:w="55" w:type="dxa"/>
              <w:bottom w:w="50" w:type="dxa"/>
              <w:right w:w="55" w:type="dxa"/>
            </w:tcMar>
          </w:tcPr>
          <w:p w14:paraId="34BA5B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freeze confirmation, access records, release history, correction requests, and damages.</w:t>
            </w:r>
          </w:p>
        </w:tc>
      </w:tr>
      <w:tr w:rsidR="00756B19" w:rsidRPr="00566B6A" w14:paraId="3F8E56BF" w14:textId="77777777">
        <w:trPr>
          <w:cantSplit/>
          <w:jc w:val="center"/>
        </w:trPr>
        <w:tc>
          <w:tcPr>
            <w:tcW w:w="2232" w:type="dxa"/>
            <w:shd w:val="clear" w:color="auto" w:fill="F7FAFC"/>
            <w:tcMar>
              <w:top w:w="50" w:type="dxa"/>
              <w:left w:w="55" w:type="dxa"/>
              <w:bottom w:w="50" w:type="dxa"/>
              <w:right w:w="55" w:type="dxa"/>
            </w:tcMar>
          </w:tcPr>
          <w:p w14:paraId="335C2B8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breach / privacy</w:t>
            </w:r>
          </w:p>
        </w:tc>
        <w:tc>
          <w:tcPr>
            <w:tcW w:w="3096" w:type="dxa"/>
            <w:shd w:val="clear" w:color="auto" w:fill="F7FAFC"/>
            <w:tcMar>
              <w:top w:w="50" w:type="dxa"/>
              <w:left w:w="55" w:type="dxa"/>
              <w:bottom w:w="50" w:type="dxa"/>
              <w:right w:w="55" w:type="dxa"/>
            </w:tcMar>
          </w:tcPr>
          <w:p w14:paraId="71FE2D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10 L.P.R.A. §§ 4051–4055</w:t>
            </w:r>
          </w:p>
        </w:tc>
        <w:tc>
          <w:tcPr>
            <w:tcW w:w="1080" w:type="dxa"/>
            <w:shd w:val="clear" w:color="auto" w:fill="F7FAFC"/>
            <w:tcMar>
              <w:top w:w="50" w:type="dxa"/>
              <w:left w:w="55" w:type="dxa"/>
              <w:bottom w:w="50" w:type="dxa"/>
              <w:right w:w="55" w:type="dxa"/>
            </w:tcMar>
          </w:tcPr>
          <w:p w14:paraId="3F289E8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1456676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51C9A3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breach notice, data elements, dates, DACO report, investigation, and remediation.</w:t>
            </w:r>
          </w:p>
        </w:tc>
      </w:tr>
      <w:tr w:rsidR="00756B19" w:rsidRPr="00566B6A" w14:paraId="08555920" w14:textId="77777777">
        <w:trPr>
          <w:cantSplit/>
          <w:jc w:val="center"/>
        </w:trPr>
        <w:tc>
          <w:tcPr>
            <w:tcW w:w="2232" w:type="dxa"/>
            <w:tcMar>
              <w:top w:w="50" w:type="dxa"/>
              <w:left w:w="55" w:type="dxa"/>
              <w:bottom w:w="50" w:type="dxa"/>
              <w:right w:w="55" w:type="dxa"/>
            </w:tcMar>
          </w:tcPr>
          <w:p w14:paraId="52A2BD4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Deceptive consumer practices</w:t>
            </w:r>
          </w:p>
        </w:tc>
        <w:tc>
          <w:tcPr>
            <w:tcW w:w="3096" w:type="dxa"/>
            <w:tcMar>
              <w:top w:w="50" w:type="dxa"/>
              <w:left w:w="55" w:type="dxa"/>
              <w:bottom w:w="50" w:type="dxa"/>
              <w:right w:w="55" w:type="dxa"/>
            </w:tcMar>
          </w:tcPr>
          <w:p w14:paraId="4844D3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3 L.P.R.A. §§ 341–341w; DACO rules</w:t>
            </w:r>
          </w:p>
        </w:tc>
        <w:tc>
          <w:tcPr>
            <w:tcW w:w="1080" w:type="dxa"/>
            <w:tcMar>
              <w:top w:w="50" w:type="dxa"/>
              <w:left w:w="55" w:type="dxa"/>
              <w:bottom w:w="50" w:type="dxa"/>
              <w:right w:w="55" w:type="dxa"/>
            </w:tcMar>
          </w:tcPr>
          <w:p w14:paraId="1369BC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5A73802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1C085F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the transaction, material statement or omission, injury, requested relief, and agency record.</w:t>
            </w:r>
          </w:p>
        </w:tc>
      </w:tr>
    </w:tbl>
    <w:p w14:paraId="4D48D96C" w14:textId="77777777" w:rsidR="00756B19" w:rsidRPr="00566B6A" w:rsidRDefault="00756B19">
      <w:pPr>
        <w:spacing w:after="20"/>
        <w:rPr>
          <w:rFonts w:ascii="Courier New" w:hAnsi="Courier New" w:cs="Courier New"/>
          <w:sz w:val="22"/>
        </w:rPr>
      </w:pPr>
    </w:p>
    <w:p w14:paraId="7EC9D1E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Safer zones (generally): identity theft, deceptive collection conduct, medical-debt restrictions, freeze violations, breach notice, and consumer deception distinct from federal reporting duties.</w:t>
      </w:r>
    </w:p>
    <w:p w14:paraId="1F87A587"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Risky zones (generally): claims imposing accuracy, reinvestigation, or furnishing duties parallel to or inconsistent with the FCRA without a distinct preserved local requirement.</w:t>
      </w:r>
    </w:p>
    <w:p w14:paraId="31E5EE81"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No legal conclusions or outcome predictions are provided.</w:t>
      </w:r>
    </w:p>
    <w:p w14:paraId="5CFBA91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D — STATE-FIRST FACT-FINDING STRATEGY (IMPLEMENTATION PLAYBOOK)</w:t>
      </w:r>
    </w:p>
    <w:p w14:paraId="3D93F76F"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708829C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2 — </w:t>
      </w:r>
      <w:r w:rsidRPr="00566B6A">
        <w:rPr>
          <w:rFonts w:ascii="Courier New" w:hAnsi="Courier New" w:cs="Courier New"/>
          <w:sz w:val="22"/>
        </w:rPr>
        <w:t>Submit written CRA and furnisher disputes with proof of service, using certified mail or verifiable electronic proof.</w:t>
      </w:r>
    </w:p>
    <w:p w14:paraId="32B68F1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3 — </w:t>
      </w:r>
      <w:r w:rsidRPr="00566B6A">
        <w:rPr>
          <w:rFonts w:ascii="Courier New" w:hAnsi="Courier New" w:cs="Courier New"/>
          <w:sz w:val="22"/>
        </w:rPr>
        <w:t>Request and preserve the contract, ledger, date-of-first-delinquency support, ownership chain, inquiry logs, and account-level data.</w:t>
      </w:r>
    </w:p>
    <w:p w14:paraId="209BD48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1533EB0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Step 5 — File with DACO or OCIF as jurisdiction requires; refer suspected criminal identity theft to law enforcement and retain confirmation numbers.</w:t>
      </w:r>
    </w:p>
    <w:p w14:paraId="03CB10D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205166D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Step 7 — Escalate unresolved federal issues to the CFPB or FTC after Puerto Rico intake, where appropriate.</w:t>
      </w:r>
    </w:p>
    <w:p w14:paraId="6DE30711"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116CE4F4" w14:textId="77777777" w:rsidR="00964317" w:rsidRPr="00566B6A" w:rsidRDefault="00964317">
      <w:pPr>
        <w:ind w:left="72"/>
        <w:rPr>
          <w:rFonts w:ascii="Courier New" w:hAnsi="Courier New" w:cs="Courier New"/>
          <w:sz w:val="22"/>
        </w:rPr>
      </w:pPr>
    </w:p>
    <w:p w14:paraId="39930386"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t>STATE Record → FCRA Element Mapping (Educational)</w:t>
      </w:r>
    </w:p>
    <w:p w14:paraId="7AD968F4"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23D1468C" w14:textId="77777777">
        <w:trPr>
          <w:cantSplit/>
          <w:tblHeader/>
          <w:jc w:val="center"/>
        </w:trPr>
        <w:tc>
          <w:tcPr>
            <w:tcW w:w="6048" w:type="dxa"/>
            <w:shd w:val="clear" w:color="auto" w:fill="D9EAF7"/>
            <w:tcMar>
              <w:top w:w="55" w:type="dxa"/>
              <w:left w:w="55" w:type="dxa"/>
              <w:bottom w:w="55" w:type="dxa"/>
              <w:right w:w="55" w:type="dxa"/>
            </w:tcMar>
            <w:vAlign w:val="center"/>
          </w:tcPr>
          <w:p w14:paraId="57FAF85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5215A7C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67E5BD99" w14:textId="77777777">
        <w:trPr>
          <w:cantSplit/>
          <w:jc w:val="center"/>
        </w:trPr>
        <w:tc>
          <w:tcPr>
            <w:tcW w:w="6048" w:type="dxa"/>
            <w:tcMar>
              <w:top w:w="50" w:type="dxa"/>
              <w:left w:w="55" w:type="dxa"/>
              <w:bottom w:w="50" w:type="dxa"/>
              <w:right w:w="55" w:type="dxa"/>
            </w:tcMar>
          </w:tcPr>
          <w:p w14:paraId="2E8C1B8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5008425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55F078A6" w14:textId="77777777">
        <w:trPr>
          <w:cantSplit/>
          <w:jc w:val="center"/>
        </w:trPr>
        <w:tc>
          <w:tcPr>
            <w:tcW w:w="6048" w:type="dxa"/>
            <w:shd w:val="clear" w:color="auto" w:fill="F7FAFC"/>
            <w:tcMar>
              <w:top w:w="50" w:type="dxa"/>
              <w:left w:w="55" w:type="dxa"/>
              <w:bottom w:w="50" w:type="dxa"/>
              <w:right w:w="55" w:type="dxa"/>
            </w:tcMar>
          </w:tcPr>
          <w:p w14:paraId="73A7870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CRA response + method-of-verification disclosure</w:t>
            </w:r>
          </w:p>
        </w:tc>
        <w:tc>
          <w:tcPr>
            <w:tcW w:w="8352" w:type="dxa"/>
            <w:shd w:val="clear" w:color="auto" w:fill="F7FAFC"/>
            <w:tcMar>
              <w:top w:w="50" w:type="dxa"/>
              <w:left w:w="55" w:type="dxa"/>
              <w:bottom w:w="50" w:type="dxa"/>
              <w:right w:w="55" w:type="dxa"/>
            </w:tcMar>
          </w:tcPr>
          <w:p w14:paraId="7CF4C9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123FB0A1" w14:textId="77777777">
        <w:trPr>
          <w:cantSplit/>
          <w:jc w:val="center"/>
        </w:trPr>
        <w:tc>
          <w:tcPr>
            <w:tcW w:w="6048" w:type="dxa"/>
            <w:tcMar>
              <w:top w:w="50" w:type="dxa"/>
              <w:left w:w="55" w:type="dxa"/>
              <w:bottom w:w="50" w:type="dxa"/>
              <w:right w:w="55" w:type="dxa"/>
            </w:tcMar>
          </w:tcPr>
          <w:p w14:paraId="05516B0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1F837C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20BCF233" w14:textId="77777777">
        <w:trPr>
          <w:cantSplit/>
          <w:jc w:val="center"/>
        </w:trPr>
        <w:tc>
          <w:tcPr>
            <w:tcW w:w="6048" w:type="dxa"/>
            <w:shd w:val="clear" w:color="auto" w:fill="F7FAFC"/>
            <w:tcMar>
              <w:top w:w="50" w:type="dxa"/>
              <w:left w:w="55" w:type="dxa"/>
              <w:bottom w:w="50" w:type="dxa"/>
              <w:right w:w="55" w:type="dxa"/>
            </w:tcMar>
          </w:tcPr>
          <w:p w14:paraId="3067C1A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DACO / OCIF complaint + agency ID</w:t>
            </w:r>
          </w:p>
        </w:tc>
        <w:tc>
          <w:tcPr>
            <w:tcW w:w="8352" w:type="dxa"/>
            <w:shd w:val="clear" w:color="auto" w:fill="F7FAFC"/>
            <w:tcMar>
              <w:top w:w="50" w:type="dxa"/>
              <w:left w:w="55" w:type="dxa"/>
              <w:bottom w:w="50" w:type="dxa"/>
              <w:right w:w="55" w:type="dxa"/>
            </w:tcMar>
          </w:tcPr>
          <w:p w14:paraId="177C906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and administrative record-building</w:t>
            </w:r>
          </w:p>
        </w:tc>
      </w:tr>
      <w:tr w:rsidR="00756B19" w:rsidRPr="00566B6A" w14:paraId="05D5AA94" w14:textId="77777777">
        <w:trPr>
          <w:cantSplit/>
          <w:jc w:val="center"/>
        </w:trPr>
        <w:tc>
          <w:tcPr>
            <w:tcW w:w="6048" w:type="dxa"/>
            <w:tcMar>
              <w:top w:w="50" w:type="dxa"/>
              <w:left w:w="55" w:type="dxa"/>
              <w:bottom w:w="50" w:type="dxa"/>
              <w:right w:w="55" w:type="dxa"/>
            </w:tcMar>
          </w:tcPr>
          <w:p w14:paraId="0BA451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39C997E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0344971C" w14:textId="77777777">
        <w:trPr>
          <w:cantSplit/>
          <w:jc w:val="center"/>
        </w:trPr>
        <w:tc>
          <w:tcPr>
            <w:tcW w:w="6048" w:type="dxa"/>
            <w:shd w:val="clear" w:color="auto" w:fill="F7FAFC"/>
            <w:tcMar>
              <w:top w:w="50" w:type="dxa"/>
              <w:left w:w="55" w:type="dxa"/>
              <w:bottom w:w="50" w:type="dxa"/>
              <w:right w:w="55" w:type="dxa"/>
            </w:tcMar>
          </w:tcPr>
          <w:p w14:paraId="70FD96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4B8689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25FBD96C" w14:textId="77777777">
        <w:trPr>
          <w:cantSplit/>
          <w:jc w:val="center"/>
        </w:trPr>
        <w:tc>
          <w:tcPr>
            <w:tcW w:w="6048" w:type="dxa"/>
            <w:tcMar>
              <w:top w:w="50" w:type="dxa"/>
              <w:left w:w="55" w:type="dxa"/>
              <w:bottom w:w="50" w:type="dxa"/>
              <w:right w:w="55" w:type="dxa"/>
            </w:tcMar>
          </w:tcPr>
          <w:p w14:paraId="7965C9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DACO complaint, notice, decision, and review proof</w:t>
            </w:r>
          </w:p>
        </w:tc>
        <w:tc>
          <w:tcPr>
            <w:tcW w:w="8352" w:type="dxa"/>
            <w:tcMar>
              <w:top w:w="50" w:type="dxa"/>
              <w:left w:w="55" w:type="dxa"/>
              <w:bottom w:w="50" w:type="dxa"/>
              <w:right w:w="55" w:type="dxa"/>
            </w:tcMar>
          </w:tcPr>
          <w:p w14:paraId="50ECC2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status, jurisdiction, notice, remedy, record, and timing</w:t>
            </w:r>
          </w:p>
        </w:tc>
      </w:tr>
    </w:tbl>
    <w:p w14:paraId="49D0CEDD" w14:textId="77777777" w:rsidR="00756B19" w:rsidRPr="00566B6A" w:rsidRDefault="00756B19">
      <w:pPr>
        <w:spacing w:after="20"/>
        <w:rPr>
          <w:rFonts w:ascii="Courier New" w:hAnsi="Courier New" w:cs="Courier New"/>
          <w:sz w:val="22"/>
        </w:rPr>
      </w:pPr>
    </w:p>
    <w:p w14:paraId="6A9CCAD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E — PROCEDURAL ENFORCEMENT TOOLS (NON-ACCUSATORY)</w:t>
      </w:r>
    </w:p>
    <w:p w14:paraId="1C1DF8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44E5D0C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Permissible-purpose request concerning inquiries and file access</w:t>
      </w:r>
    </w:p>
    <w:p w14:paraId="3F88794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71A2729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0012C8C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Identity-integrity review: addresses, aliases, mixed-file indicators, and identity-theft markers</w:t>
      </w:r>
    </w:p>
    <w:p w14:paraId="6BAC22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DACO complaint and remedy request documenting the consumer transaction, deceptive practice, collection violation, agency jurisdiction, and requested relief</w:t>
      </w:r>
    </w:p>
    <w:p w14:paraId="45BCFD2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Collection-agency license and regulator-jurisdiction review</w:t>
      </w:r>
    </w:p>
    <w:p w14:paraId="7E48C90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49545DF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44A6B450"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F — STATE-SPECIFIC MODULE (AUTO-INJECT, REQUIRED)</w:t>
      </w:r>
    </w:p>
    <w:p w14:paraId="4A602F23"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Puerto Rico (PR)</w:t>
      </w:r>
    </w:p>
    <w:p w14:paraId="66FD35E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Statutes / Acts</w:t>
      </w:r>
    </w:p>
    <w:p w14:paraId="1B09666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Puerto Rico DACO Organic Act | 3 L.P.R.A. §§ 341–341w | Remedies: adjudication, corrective or cease-and-desist orders, authorized relief, and fines. | Authority: DACO / courts on review.</w:t>
      </w:r>
    </w:p>
    <w:p w14:paraId="52AAAA4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Puerto Rico Collection Agencies Act | 10 L.P.R.A. §§ 981–981s, including § 981p | Remedies: licensing enforcement, prohibited-practice protections, notice safeguards, and penalties; FDCPA relief may apply separately. | Authority: DACO / courts.</w:t>
      </w:r>
    </w:p>
    <w:p w14:paraId="7853415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Puerto Rico Credit Reporting and Security Freeze Laws | 7 L.P.R.A. §§ 2031–2039 and §§ 3131–3148; Act 98-2026 | Remedies: disclosures, disputes, annual reports, medical-debt restrictions, freezes, and relief under § 3147. | Authority: DACO / OCIF / courts.</w:t>
      </w:r>
    </w:p>
    <w:p w14:paraId="2CFF188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Puerto Rico Citizen Information on Data Banks Security Act | 10 L.P.R.A. §§ 4051–4055 | Remedies: consumer and DACO notice, administrative fines, and preserved judicial claims. | Authority: DACO / courts.</w:t>
      </w:r>
    </w:p>
    <w:p w14:paraId="515DA0A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Puerto Rico Identity Theft | 33 L.P.R.A. § 4844 | Remedies: criminal enforcement, authorized restitution, and identity-restoration procedures. | Authority: law enforcement / courts.</w:t>
      </w:r>
    </w:p>
    <w:p w14:paraId="0FE81E4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Regulations</w:t>
      </w:r>
    </w:p>
    <w:p w14:paraId="56DF33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DACO regulations governing collection agencies, deceptive practices and advertisements, administrative adjudication, and applicable credit-reporting procedures — verify the current regulation number, amendments, and effective date before filing or relying on a rule. Regulation No. 6451 has historically governed collection agencies.</w:t>
      </w:r>
    </w:p>
    <w:p w14:paraId="4BC12908"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Policies / Guidance</w:t>
      </w:r>
    </w:p>
    <w:p w14:paraId="4C4FF9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DACO: complaint procedures, administrative cases, collection-agency licensing, and consumer guidance.</w:t>
      </w:r>
    </w:p>
    <w:p w14:paraId="33362FD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OCIF: complaints and supervision for covered financial institutions.</w:t>
      </w:r>
    </w:p>
    <w:p w14:paraId="40D5DED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Puerto Rico Department of Justice and law enforcement: identity-theft, fraud, and criminal referrals.</w:t>
      </w:r>
    </w:p>
    <w:p w14:paraId="67D1A2A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Ordinances</w:t>
      </w:r>
    </w:p>
    <w:p w14:paraId="70590F38" w14:textId="77777777" w:rsidR="00756B19" w:rsidRDefault="00F247EE">
      <w:pPr>
        <w:spacing w:after="60"/>
        <w:rPr>
          <w:rFonts w:ascii="Courier New" w:hAnsi="Courier New" w:cs="Courier New"/>
          <w:sz w:val="22"/>
        </w:rPr>
      </w:pPr>
      <w:r w:rsidRPr="00566B6A">
        <w:rPr>
          <w:rFonts w:ascii="Courier New" w:hAnsi="Courier New" w:cs="Courier New"/>
          <w:sz w:val="22"/>
        </w:rPr>
        <w:t>Municipal ordinances are not usually controlling for credit-reporting disputes; verify any municipality-specific provision.</w:t>
      </w:r>
    </w:p>
    <w:p w14:paraId="67D233BA" w14:textId="77777777" w:rsidR="00964317" w:rsidRPr="00566B6A" w:rsidRDefault="00964317">
      <w:pPr>
        <w:spacing w:after="60"/>
        <w:rPr>
          <w:rFonts w:ascii="Courier New" w:hAnsi="Courier New" w:cs="Courier New"/>
          <w:sz w:val="22"/>
        </w:rPr>
      </w:pPr>
    </w:p>
    <w:p w14:paraId="23A9C68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6C90A9F" w14:textId="77777777">
        <w:trPr>
          <w:cantSplit/>
          <w:tblHeader/>
          <w:jc w:val="center"/>
        </w:trPr>
        <w:tc>
          <w:tcPr>
            <w:tcW w:w="2232" w:type="dxa"/>
            <w:shd w:val="clear" w:color="auto" w:fill="D9EAF7"/>
            <w:tcMar>
              <w:top w:w="55" w:type="dxa"/>
              <w:left w:w="55" w:type="dxa"/>
              <w:bottom w:w="55" w:type="dxa"/>
              <w:right w:w="55" w:type="dxa"/>
            </w:tcMar>
            <w:vAlign w:val="center"/>
          </w:tcPr>
          <w:p w14:paraId="433264E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F55409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49CB34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0A97A35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7660DDB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D26DBB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4D686B0" w14:textId="77777777">
        <w:trPr>
          <w:cantSplit/>
          <w:jc w:val="center"/>
        </w:trPr>
        <w:tc>
          <w:tcPr>
            <w:tcW w:w="2232" w:type="dxa"/>
            <w:tcMar>
              <w:top w:w="50" w:type="dxa"/>
              <w:left w:w="55" w:type="dxa"/>
              <w:bottom w:w="50" w:type="dxa"/>
              <w:right w:w="55" w:type="dxa"/>
            </w:tcMar>
          </w:tcPr>
          <w:p w14:paraId="79A966A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Ortiz Rolón v. Armando Soler Auto Sales, Inc.</w:t>
            </w:r>
          </w:p>
        </w:tc>
        <w:tc>
          <w:tcPr>
            <w:tcW w:w="1152" w:type="dxa"/>
            <w:tcMar>
              <w:top w:w="50" w:type="dxa"/>
              <w:left w:w="55" w:type="dxa"/>
              <w:bottom w:w="50" w:type="dxa"/>
              <w:right w:w="55" w:type="dxa"/>
            </w:tcMar>
          </w:tcPr>
          <w:p w14:paraId="72D4F0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 Sup. Ct.</w:t>
            </w:r>
          </w:p>
        </w:tc>
        <w:tc>
          <w:tcPr>
            <w:tcW w:w="748" w:type="dxa"/>
            <w:tcMar>
              <w:top w:w="50" w:type="dxa"/>
              <w:left w:w="55" w:type="dxa"/>
              <w:bottom w:w="50" w:type="dxa"/>
              <w:right w:w="55" w:type="dxa"/>
            </w:tcMar>
          </w:tcPr>
          <w:p w14:paraId="6E26254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2019</w:t>
            </w:r>
          </w:p>
        </w:tc>
        <w:tc>
          <w:tcPr>
            <w:tcW w:w="2088" w:type="dxa"/>
            <w:tcMar>
              <w:top w:w="50" w:type="dxa"/>
              <w:left w:w="55" w:type="dxa"/>
              <w:bottom w:w="50" w:type="dxa"/>
              <w:right w:w="55" w:type="dxa"/>
            </w:tcMar>
          </w:tcPr>
          <w:p w14:paraId="487057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202 D.P.R. 689; 2019 TSPR 109</w:t>
            </w:r>
          </w:p>
        </w:tc>
        <w:tc>
          <w:tcPr>
            <w:tcW w:w="4536" w:type="dxa"/>
            <w:tcMar>
              <w:top w:w="50" w:type="dxa"/>
              <w:left w:w="55" w:type="dxa"/>
              <w:bottom w:w="50" w:type="dxa"/>
              <w:right w:w="55" w:type="dxa"/>
            </w:tcMar>
          </w:tcPr>
          <w:p w14:paraId="18E812C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Recognized DACO authority to order restitution after a deceptive used-vehicle sale and addressed relief involving the dealer, financer, and statutory surety.</w:t>
            </w:r>
          </w:p>
        </w:tc>
        <w:tc>
          <w:tcPr>
            <w:tcW w:w="3643" w:type="dxa"/>
            <w:tcMar>
              <w:top w:w="50" w:type="dxa"/>
              <w:left w:w="55" w:type="dxa"/>
              <w:bottom w:w="50" w:type="dxa"/>
              <w:right w:w="55" w:type="dxa"/>
            </w:tcMar>
          </w:tcPr>
          <w:p w14:paraId="1A2627E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sales contract, ads, vehicle and title records, financing, warranty, DACO filings, and dealer-bond information.</w:t>
            </w:r>
          </w:p>
        </w:tc>
      </w:tr>
      <w:tr w:rsidR="00756B19" w:rsidRPr="00566B6A" w14:paraId="5698ECA4" w14:textId="77777777">
        <w:trPr>
          <w:cantSplit/>
          <w:jc w:val="center"/>
        </w:trPr>
        <w:tc>
          <w:tcPr>
            <w:tcW w:w="2232" w:type="dxa"/>
            <w:shd w:val="clear" w:color="auto" w:fill="F7FAFC"/>
            <w:tcMar>
              <w:top w:w="50" w:type="dxa"/>
              <w:left w:w="55" w:type="dxa"/>
              <w:bottom w:w="50" w:type="dxa"/>
              <w:right w:w="55" w:type="dxa"/>
            </w:tcMar>
          </w:tcPr>
          <w:p w14:paraId="74F9F4B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Medina Sánchez v. Swiss Chalet, Inc.</w:t>
            </w:r>
          </w:p>
        </w:tc>
        <w:tc>
          <w:tcPr>
            <w:tcW w:w="1152" w:type="dxa"/>
            <w:shd w:val="clear" w:color="auto" w:fill="F7FAFC"/>
            <w:tcMar>
              <w:top w:w="50" w:type="dxa"/>
              <w:left w:w="55" w:type="dxa"/>
              <w:bottom w:w="50" w:type="dxa"/>
              <w:right w:w="55" w:type="dxa"/>
            </w:tcMar>
          </w:tcPr>
          <w:p w14:paraId="342ED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 Sup. Ct.</w:t>
            </w:r>
          </w:p>
        </w:tc>
        <w:tc>
          <w:tcPr>
            <w:tcW w:w="748" w:type="dxa"/>
            <w:shd w:val="clear" w:color="auto" w:fill="F7FAFC"/>
            <w:tcMar>
              <w:top w:w="50" w:type="dxa"/>
              <w:left w:w="55" w:type="dxa"/>
              <w:bottom w:w="50" w:type="dxa"/>
              <w:right w:w="55" w:type="dxa"/>
            </w:tcMar>
          </w:tcPr>
          <w:p w14:paraId="0438024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2010</w:t>
            </w:r>
          </w:p>
        </w:tc>
        <w:tc>
          <w:tcPr>
            <w:tcW w:w="2088" w:type="dxa"/>
            <w:shd w:val="clear" w:color="auto" w:fill="F7FAFC"/>
            <w:tcMar>
              <w:top w:w="50" w:type="dxa"/>
              <w:left w:w="55" w:type="dxa"/>
              <w:bottom w:w="50" w:type="dxa"/>
              <w:right w:w="55" w:type="dxa"/>
            </w:tcMar>
          </w:tcPr>
          <w:p w14:paraId="73BC4D6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178 D.P.R. 363; 2010 TSPR 21</w:t>
            </w:r>
          </w:p>
        </w:tc>
        <w:tc>
          <w:tcPr>
            <w:tcW w:w="4536" w:type="dxa"/>
            <w:shd w:val="clear" w:color="auto" w:fill="F7FAFC"/>
            <w:tcMar>
              <w:top w:w="50" w:type="dxa"/>
              <w:left w:w="55" w:type="dxa"/>
              <w:bottom w:w="50" w:type="dxa"/>
              <w:right w:w="55" w:type="dxa"/>
            </w:tcMar>
          </w:tcPr>
          <w:p w14:paraId="19F38DE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DACO could compensate a housing purchaser for a material false representation about apartment size under consumer-housing law.</w:t>
            </w:r>
          </w:p>
        </w:tc>
        <w:tc>
          <w:tcPr>
            <w:tcW w:w="3643" w:type="dxa"/>
            <w:shd w:val="clear" w:color="auto" w:fill="F7FAFC"/>
            <w:tcMar>
              <w:top w:w="50" w:type="dxa"/>
              <w:left w:w="55" w:type="dxa"/>
              <w:bottom w:w="50" w:type="dxa"/>
              <w:right w:w="55" w:type="dxa"/>
            </w:tcMar>
          </w:tcPr>
          <w:p w14:paraId="2F9733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ads, plans, contracts, appraisals, measurements, financing, complaints, and proof linking the statement to loss.</w:t>
            </w:r>
          </w:p>
        </w:tc>
      </w:tr>
      <w:tr w:rsidR="00756B19" w:rsidRPr="00566B6A" w14:paraId="7EDC4511" w14:textId="77777777">
        <w:trPr>
          <w:cantSplit/>
          <w:jc w:val="center"/>
        </w:trPr>
        <w:tc>
          <w:tcPr>
            <w:tcW w:w="2232" w:type="dxa"/>
            <w:tcMar>
              <w:top w:w="50" w:type="dxa"/>
              <w:left w:w="55" w:type="dxa"/>
              <w:bottom w:w="50" w:type="dxa"/>
              <w:right w:w="55" w:type="dxa"/>
            </w:tcMar>
          </w:tcPr>
          <w:p w14:paraId="43BB22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Domínguez Rivera v. Tribunal Superior</w:t>
            </w:r>
          </w:p>
        </w:tc>
        <w:tc>
          <w:tcPr>
            <w:tcW w:w="1152" w:type="dxa"/>
            <w:tcMar>
              <w:top w:w="50" w:type="dxa"/>
              <w:left w:w="55" w:type="dxa"/>
              <w:bottom w:w="50" w:type="dxa"/>
              <w:right w:w="55" w:type="dxa"/>
            </w:tcMar>
          </w:tcPr>
          <w:p w14:paraId="7D1CCB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 Sup. Ct.</w:t>
            </w:r>
          </w:p>
        </w:tc>
        <w:tc>
          <w:tcPr>
            <w:tcW w:w="748" w:type="dxa"/>
            <w:tcMar>
              <w:top w:w="50" w:type="dxa"/>
              <w:left w:w="55" w:type="dxa"/>
              <w:bottom w:w="50" w:type="dxa"/>
              <w:right w:w="55" w:type="dxa"/>
            </w:tcMar>
          </w:tcPr>
          <w:p w14:paraId="54C95B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1974</w:t>
            </w:r>
          </w:p>
        </w:tc>
        <w:tc>
          <w:tcPr>
            <w:tcW w:w="2088" w:type="dxa"/>
            <w:tcMar>
              <w:top w:w="50" w:type="dxa"/>
              <w:left w:w="55" w:type="dxa"/>
              <w:bottom w:w="50" w:type="dxa"/>
              <w:right w:w="55" w:type="dxa"/>
            </w:tcMar>
          </w:tcPr>
          <w:p w14:paraId="4BC38F4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103 D.P.R. 117</w:t>
            </w:r>
          </w:p>
        </w:tc>
        <w:tc>
          <w:tcPr>
            <w:tcW w:w="4536" w:type="dxa"/>
            <w:tcMar>
              <w:top w:w="50" w:type="dxa"/>
              <w:left w:w="55" w:type="dxa"/>
              <w:bottom w:w="50" w:type="dxa"/>
              <w:right w:w="55" w:type="dxa"/>
            </w:tcMar>
          </w:tcPr>
          <w:p w14:paraId="285D488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Explained that the Collection Agencies Act protects debtors and that its certified pre-suit demand requirement concerns personal jurisdiction and may be waived.</w:t>
            </w:r>
          </w:p>
        </w:tc>
        <w:tc>
          <w:tcPr>
            <w:tcW w:w="3643" w:type="dxa"/>
            <w:tcMar>
              <w:top w:w="50" w:type="dxa"/>
              <w:left w:w="55" w:type="dxa"/>
              <w:bottom w:w="50" w:type="dxa"/>
              <w:right w:w="55" w:type="dxa"/>
            </w:tcMar>
          </w:tcPr>
          <w:p w14:paraId="1DB333F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certified demand, receipt, address, complaint, agency status, ledger, and any appearance or waiver issue.</w:t>
            </w:r>
          </w:p>
        </w:tc>
      </w:tr>
    </w:tbl>
    <w:p w14:paraId="635296EF" w14:textId="77777777" w:rsidR="00756B19" w:rsidRPr="00566B6A" w:rsidRDefault="00756B19">
      <w:pPr>
        <w:spacing w:after="20"/>
        <w:rPr>
          <w:rFonts w:ascii="Courier New" w:hAnsi="Courier New" w:cs="Courier New"/>
          <w:sz w:val="22"/>
        </w:rPr>
      </w:pPr>
    </w:p>
    <w:p w14:paraId="72752F1B"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G — ADAPTIVE AI AUTHORITY LIBRARY (CONSTANT UPDATES)</w:t>
      </w:r>
    </w:p>
    <w:p w14:paraId="149D0850"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 TK-Authority-2026-07-PR</w:t>
      </w:r>
    </w:p>
    <w:p w14:paraId="67548EF2"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Last Updated Date: July 24, 2026</w:t>
      </w:r>
    </w:p>
    <w:p w14:paraId="31FCC85C"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Filters Applied: Federal + PR</w:t>
      </w:r>
    </w:p>
    <w:p w14:paraId="499F413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Update Discipline: Citations must be validated against official sources before inclusion. Puerto Rico statutory references in this version were checked against current Puerto Rico code publications and 2026 session laws. Federal FCRA authorities were checked against the U.S. Code and current Regulation V materials available on July 24, 2026.</w:t>
      </w:r>
    </w:p>
    <w:p w14:paraId="7D95EC5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Confidence Flags</w:t>
      </w:r>
    </w:p>
    <w:p w14:paraId="7B98AE2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2B5D10D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2C5AD9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lastRenderedPageBreak/>
        <w:t>Subject to Legislative Updates</w:t>
      </w:r>
    </w:p>
    <w:p w14:paraId="34661A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4C0CF72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p>
    <w:p w14:paraId="2873AAC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This section was generated using a continuously updated authority library designed to identify relevant federal and Puerto Rico consumer-protection authorities. Statutes, regulations, agency guidance, and judicial decisions may change over time. This section is educational and informational only and does not constitute legal advice or legal representation.</w:t>
      </w:r>
    </w:p>
    <w:p w14:paraId="786B72E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H — CITATION RULES (MANDATORY)</w:t>
      </w:r>
    </w:p>
    <w:p w14:paraId="4D24D7B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197598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Puerto Rico agency, regulation number, section, and effective date.</w:t>
      </w:r>
    </w:p>
    <w:p w14:paraId="4F70BEF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Policies / Guidance: agency name, document or webpage title, publication or access date when available, and official source.</w:t>
      </w:r>
    </w:p>
    <w:p w14:paraId="335B91D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5AF73C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59E8223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REQUIRED SECTION DISCLAIMER (END)</w:t>
      </w:r>
    </w:p>
    <w:p w14:paraId="39747516"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p w14:paraId="5A489BC8" w14:textId="77777777" w:rsidR="00BD7EED" w:rsidRDefault="00BD7EED">
      <w:pPr>
        <w:keepLines/>
        <w:spacing w:before="40" w:after="0"/>
        <w:rPr>
          <w:rFonts w:ascii="Courier New" w:hAnsi="Courier New" w:cs="Courier New"/>
          <w:i/>
          <w:color w:val="464646"/>
          <w:sz w:val="22"/>
        </w:rPr>
      </w:pPr>
    </w:p>
    <w:p w14:paraId="793F004D" w14:textId="77777777" w:rsidR="00BD7EED" w:rsidRDefault="00BD7EED">
      <w:pPr>
        <w:keepLines/>
        <w:spacing w:before="40" w:after="0"/>
        <w:rPr>
          <w:rFonts w:ascii="Courier New" w:hAnsi="Courier New" w:cs="Courier New"/>
          <w:i/>
          <w:color w:val="464646"/>
          <w:sz w:val="22"/>
        </w:rPr>
      </w:pPr>
    </w:p>
    <w:p w14:paraId="4EA59E70" w14:textId="77777777" w:rsidR="00BD7EED" w:rsidRDefault="00BD7EED">
      <w:pPr>
        <w:keepLines/>
        <w:spacing w:before="40" w:after="0"/>
        <w:rPr>
          <w:rFonts w:ascii="Courier New" w:hAnsi="Courier New" w:cs="Courier New"/>
          <w:i/>
          <w:color w:val="464646"/>
          <w:sz w:val="22"/>
        </w:rPr>
      </w:pPr>
    </w:p>
    <w:p w14:paraId="41B72AA8" w14:textId="77777777" w:rsidR="00BD7EED" w:rsidRDefault="00BD7EED">
      <w:pPr>
        <w:keepLines/>
        <w:spacing w:before="40" w:after="0"/>
        <w:rPr>
          <w:rFonts w:ascii="Courier New" w:hAnsi="Courier New" w:cs="Courier New"/>
          <w:i/>
          <w:color w:val="464646"/>
          <w:sz w:val="22"/>
        </w:rPr>
      </w:pPr>
    </w:p>
    <w:p w14:paraId="42B7C716" w14:textId="77777777" w:rsidR="00BD7EED" w:rsidRDefault="00BD7EED">
      <w:pPr>
        <w:keepLines/>
        <w:spacing w:before="40" w:after="0"/>
        <w:rPr>
          <w:rFonts w:ascii="Courier New" w:hAnsi="Courier New" w:cs="Courier New"/>
          <w:i/>
          <w:color w:val="464646"/>
          <w:sz w:val="22"/>
        </w:rPr>
      </w:pPr>
    </w:p>
    <w:p w14:paraId="5C3A8A05" w14:textId="77777777" w:rsidR="00BD7EED" w:rsidRDefault="00BD7EED">
      <w:pPr>
        <w:keepLines/>
        <w:spacing w:before="40" w:after="0"/>
        <w:rPr>
          <w:rFonts w:ascii="Courier New" w:hAnsi="Courier New" w:cs="Courier New"/>
          <w:i/>
          <w:color w:val="464646"/>
          <w:sz w:val="22"/>
        </w:rPr>
      </w:pPr>
    </w:p>
    <w:p w14:paraId="0BEFAA58" w14:textId="77777777" w:rsidR="00BD7EED" w:rsidRDefault="00BD7EED">
      <w:pPr>
        <w:keepLines/>
        <w:spacing w:before="40" w:after="0"/>
        <w:rPr>
          <w:rFonts w:ascii="Courier New" w:hAnsi="Courier New" w:cs="Courier New"/>
          <w:i/>
          <w:color w:val="464646"/>
          <w:sz w:val="22"/>
        </w:rPr>
      </w:pPr>
    </w:p>
    <w:p w14:paraId="72054B27" w14:textId="77777777" w:rsidR="00BD7EED" w:rsidRDefault="00BD7EED">
      <w:pPr>
        <w:keepLines/>
        <w:spacing w:before="40" w:after="0"/>
        <w:rPr>
          <w:rFonts w:ascii="Courier New" w:hAnsi="Courier New" w:cs="Courier New"/>
          <w:i/>
          <w:color w:val="464646"/>
          <w:sz w:val="22"/>
        </w:rPr>
      </w:pPr>
    </w:p>
    <w:p w14:paraId="1C34DB2E" w14:textId="77777777" w:rsidR="00BD7EED" w:rsidRDefault="00BD7EED">
      <w:pPr>
        <w:keepLines/>
        <w:spacing w:before="40" w:after="0"/>
        <w:rPr>
          <w:rFonts w:ascii="Courier New" w:hAnsi="Courier New" w:cs="Courier New"/>
          <w:i/>
          <w:color w:val="464646"/>
          <w:sz w:val="22"/>
        </w:rPr>
      </w:pPr>
    </w:p>
    <w:p w14:paraId="6D976413" w14:textId="77777777" w:rsidR="00BD7EED" w:rsidRDefault="00BD7EED">
      <w:pPr>
        <w:keepLines/>
        <w:spacing w:before="40" w:after="0"/>
        <w:rPr>
          <w:rFonts w:ascii="Courier New" w:hAnsi="Courier New" w:cs="Courier New"/>
          <w:i/>
          <w:color w:val="464646"/>
          <w:sz w:val="22"/>
        </w:rPr>
      </w:pPr>
    </w:p>
    <w:p w14:paraId="372A5196" w14:textId="77777777" w:rsidR="00BD7EED" w:rsidRDefault="00BD7EED">
      <w:pPr>
        <w:keepLines/>
        <w:spacing w:before="40" w:after="0"/>
        <w:rPr>
          <w:rFonts w:ascii="Courier New" w:hAnsi="Courier New" w:cs="Courier New"/>
          <w:i/>
          <w:color w:val="464646"/>
          <w:sz w:val="22"/>
        </w:rPr>
      </w:pPr>
    </w:p>
    <w:p w14:paraId="335C40D1" w14:textId="77777777" w:rsidR="00BD7EED" w:rsidRDefault="00BD7EED">
      <w:pPr>
        <w:keepLines/>
        <w:spacing w:before="40" w:after="0"/>
        <w:rPr>
          <w:rFonts w:ascii="Courier New" w:hAnsi="Courier New" w:cs="Courier New"/>
          <w:i/>
          <w:color w:val="464646"/>
          <w:sz w:val="22"/>
        </w:rPr>
      </w:pPr>
    </w:p>
    <w:p w14:paraId="6FD257A4" w14:textId="77777777" w:rsidR="00BD7EED" w:rsidRDefault="00BD7EED">
      <w:pPr>
        <w:keepLines/>
        <w:spacing w:before="40" w:after="0"/>
        <w:rPr>
          <w:rFonts w:ascii="Courier New" w:hAnsi="Courier New" w:cs="Courier New"/>
          <w:i/>
          <w:color w:val="464646"/>
          <w:sz w:val="22"/>
        </w:rPr>
      </w:pPr>
    </w:p>
    <w:p w14:paraId="6CD0DD27" w14:textId="77777777" w:rsidR="00BD7EED" w:rsidRPr="00566B6A" w:rsidRDefault="00BD7EED">
      <w:pPr>
        <w:keepLines/>
        <w:spacing w:before="40" w:after="0"/>
        <w:rPr>
          <w:rFonts w:ascii="Courier New" w:hAnsi="Courier New" w:cs="Courier New"/>
          <w:sz w:val="22"/>
        </w:rPr>
      </w:pPr>
    </w:p>
    <w:sectPr w:rsidR="00BD7EED" w:rsidRPr="00566B6A"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F63DA" w14:textId="77777777" w:rsidR="006E0684" w:rsidRDefault="006E0684">
      <w:pPr>
        <w:spacing w:after="0" w:line="240" w:lineRule="auto"/>
      </w:pPr>
      <w:r>
        <w:separator/>
      </w:r>
    </w:p>
  </w:endnote>
  <w:endnote w:type="continuationSeparator" w:id="0">
    <w:p w14:paraId="6F5AE603" w14:textId="77777777" w:rsidR="006E0684" w:rsidRDefault="006E0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32E7"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C180A" w14:textId="77777777" w:rsidR="006E0684" w:rsidRDefault="006E0684">
      <w:pPr>
        <w:spacing w:after="0" w:line="240" w:lineRule="auto"/>
      </w:pPr>
      <w:r>
        <w:separator/>
      </w:r>
    </w:p>
  </w:footnote>
  <w:footnote w:type="continuationSeparator" w:id="0">
    <w:p w14:paraId="797E183C" w14:textId="77777777" w:rsidR="006E0684" w:rsidRDefault="006E0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0026" w14:textId="77777777" w:rsidR="00756B19" w:rsidRDefault="00F247EE">
    <w:pPr>
      <w:pStyle w:val="Header"/>
      <w:jc w:val="right"/>
    </w:pPr>
    <w:r>
      <w:rPr>
        <w:b/>
        <w:color w:val="505050"/>
        <w:sz w:val="15"/>
      </w:rPr>
      <w:t>GLADIC AI™ — SECTION 3A | PUERTO RICO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6063C"/>
    <w:rsid w:val="000C26BB"/>
    <w:rsid w:val="0015074B"/>
    <w:rsid w:val="0029639D"/>
    <w:rsid w:val="00326F90"/>
    <w:rsid w:val="00463F22"/>
    <w:rsid w:val="00566B6A"/>
    <w:rsid w:val="00655F05"/>
    <w:rsid w:val="006E0684"/>
    <w:rsid w:val="006E442F"/>
    <w:rsid w:val="006F27AD"/>
    <w:rsid w:val="00736F61"/>
    <w:rsid w:val="00756B19"/>
    <w:rsid w:val="00964317"/>
    <w:rsid w:val="00AA1D8D"/>
    <w:rsid w:val="00B47730"/>
    <w:rsid w:val="00BD7EED"/>
    <w:rsid w:val="00CB0664"/>
    <w:rsid w:val="00F247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50A26"/>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4115</Words>
  <Characters>23461</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27521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3A — Wyoming Laws and Federal FCRA Personal Information Corrections</dc:title>
  <dc:subject>Wyoming consumer protection, federal FCRA, inaccurate address, employment, and contact information</dc:subject>
  <dc:creator>GLADIC AI™</dc:creator>
  <cp:keywords>Wyoming, consumer protection, WCPA, FCRA, debt collection, security freeze, case law</cp:keywords>
  <dc:description>Educational and procedural self-help material.</dc:description>
  <cp:lastModifiedBy>Louis Lewis</cp:lastModifiedBy>
  <cp:revision>2</cp:revision>
  <dcterms:created xsi:type="dcterms:W3CDTF">2026-07-24T23:28:00Z</dcterms:created>
  <dcterms:modified xsi:type="dcterms:W3CDTF">2026-07-24T23:28:00Z</dcterms:modified>
  <cp:category/>
</cp:coreProperties>
</file>