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D7EE"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6FB58C31" w14:textId="77777777" w:rsidR="00024A47" w:rsidRPr="00024A47" w:rsidRDefault="00024A47">
      <w:pPr>
        <w:spacing w:after="140"/>
        <w:jc w:val="center"/>
        <w:rPr>
          <w:rFonts w:ascii="Courier New" w:hAnsi="Courier New" w:cs="Courier New"/>
          <w:b/>
          <w:sz w:val="22"/>
        </w:rPr>
      </w:pPr>
    </w:p>
    <w:p w14:paraId="22D01FA0"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2559FF4A" w14:textId="77777777" w:rsidR="00566B6A" w:rsidRPr="00024A47" w:rsidRDefault="00566B6A" w:rsidP="00566B6A">
      <w:pPr>
        <w:spacing w:after="0"/>
        <w:jc w:val="center"/>
        <w:rPr>
          <w:rFonts w:ascii="Courier New" w:hAnsi="Courier New" w:cs="Courier New"/>
          <w:bCs/>
          <w:sz w:val="22"/>
        </w:rPr>
      </w:pPr>
    </w:p>
    <w:p w14:paraId="08A37C4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02E33A5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242A659"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31F496C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Rhode Island (RI)</w:t>
      </w:r>
    </w:p>
    <w:p w14:paraId="0F481C3E"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5C703DD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01D166"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35CB23E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Rhode Island Deceptive Trade Practices Act (DTPA)</w:t>
      </w:r>
    </w:p>
    <w:p w14:paraId="4D2D135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R.I. Gen. Laws §§ 6-13.1-1 through 6-13.1-29</w:t>
      </w:r>
    </w:p>
    <w:p w14:paraId="554B897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the conduct of trade or commerce, subject to statutory definitions and exemptions.</w:t>
      </w:r>
    </w:p>
    <w:p w14:paraId="4DE619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recover actual damages or five hundred dollars ($500), whichever is greater; the court may award up to three times actual damages, equitable relief, reasonable attorney’s fees, and costs. The Attorney General may seek injunctions, restoration, receivership, civil penalties, and other authorized relief.</w:t>
      </w:r>
    </w:p>
    <w:p w14:paraId="0F620B2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Under R.I. Gen. Laws § 6-13.1-5.2, a qualifying consumer who sustains an ascertainable loss may seek actual damages or $500, whichever is greater, equitable relief, and reasonable fees and costs; treble damages may be awarded for willful or knowing conduct. Section 6-13.1-5.2 does not state a three-year limitations period; absent a more specific applicable period, R.I. Gen. Laws § 9-1-13(a) generally allows ten years for civil actions not otherwise limited.</w:t>
      </w:r>
    </w:p>
    <w:p w14:paraId="3F53A00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Rhode Island Attorney General — Consumer Protection.</w:t>
      </w:r>
    </w:p>
    <w:p w14:paraId="062F0ED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565980A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Rhode Island debt-collector registration and conduct requirements together with federal law.</w:t>
      </w:r>
    </w:p>
    <w:p w14:paraId="42A9A77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Rhode Island Fair Debt Collection Practices Act regulates debt-collector registration and collection conduct. The federal FDCPA also applies to qualifying collectors.</w:t>
      </w:r>
    </w:p>
    <w:p w14:paraId="018A526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R.I. Gen. Laws §§ 19-14.9-1 through 19-14.9-14; 15 U.S.C. §§ 1692 through 1692p.</w:t>
      </w:r>
    </w:p>
    <w:p w14:paraId="3289036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Rhode Island Department of Business Regulation; Attorney General; CFPB and FTC where applicable.</w:t>
      </w:r>
    </w:p>
    <w:p w14:paraId="4D545E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38AD24C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Rhode Island analogue to the federal FCRA governing general accuracy and reinvestigation duties was identified. Chapter 6-48 provides state security-freeze rights.</w:t>
      </w:r>
    </w:p>
    <w:p w14:paraId="656881D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Rhode Island consumers may place, temporarily lift, or remove a security freeze under R.I. Gen. Laws §§ 6-48-1 through 6-48-9.</w:t>
      </w:r>
    </w:p>
    <w:p w14:paraId="754AF57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receive the state notice of security-freeze rights described in R.I. Gen. Laws § 6-48-6.</w:t>
      </w:r>
    </w:p>
    <w:p w14:paraId="57B8C66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Rhode Island claims should be evaluated separately for FCRA preemption.</w:t>
      </w:r>
    </w:p>
    <w:p w14:paraId="66A133E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arise principally under federal law; Rhode Island supplements protection through its security-freeze, identity-fraud, and breach-notification laws.</w:t>
      </w:r>
    </w:p>
    <w:p w14:paraId="51517C9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R.I. Gen. Laws § 6-48-7 provides civil remedies for willful or negligent violations, including statutory or actual damages and fees as specified.</w:t>
      </w:r>
    </w:p>
    <w:p w14:paraId="3E247103"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17104B9F"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6731C9D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7C18DD9F"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60FB168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1B9BCC9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4304F31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2FEE3CE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61A24BD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2A43871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BA241F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1ACA6F7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6321DE2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fraud: R.I. Gen. Laws § 11-49.1-3 criminalizes specified unauthorized uses of another person’s identifying information.</w:t>
      </w:r>
    </w:p>
    <w:p w14:paraId="255436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Preserve police and FTC reports, freeze confirmations, creditor notices, and federal FCRA blocking records; no separate factual-innocence procedure is stated here.</w:t>
      </w:r>
    </w:p>
    <w:p w14:paraId="2AAAF0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7AEBBFF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413097C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003BDC4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R.I. Gen. Laws § 11-49.3-4 requires notice after a qualifying breach, generally within 30 days for government agencies and 45 days for other covered entities; breaches affecting more than 500 residents also require Attorney General and consumer-reporting-agency notice.</w:t>
      </w:r>
    </w:p>
    <w:p w14:paraId="137D621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ranges: Breach protection appears at R.I. Gen. Laws §§ 11-49.3-1 through 11-49.3-7; security freezes at §§ 6-48-1 through 6-48-9.</w:t>
      </w:r>
    </w:p>
    <w:p w14:paraId="4C29A45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Rhode Island’s Data Transparency and Privacy Protection Act, R.I. Gen. Laws §§ 6-48.1-1 through 6-48.1-10, is enforced by the Attorney General and provides no private action.</w:t>
      </w:r>
    </w:p>
    <w:p w14:paraId="749363F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556F31D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25D875B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Rhode Island Attorney General: Consumer Protection — complaint intake, investigation, and enforcement of the DTPA and related consumer laws.</w:t>
      </w:r>
    </w:p>
    <w:p w14:paraId="7C28376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Rhode Island Department of Business Regulation, Division of Banking: debt-collector registration, complaint review, and regulatory oversight.</w:t>
      </w:r>
    </w:p>
    <w:p w14:paraId="2DE17E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Rhode Island Department of Business Regulation: Complaint pathway for state-regulated financial institutions and licensed financial-service providers, as jurisdiction permits.</w:t>
      </w:r>
    </w:p>
    <w:p w14:paraId="3ECDFE5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Federal escalation: CFPB and FTC complaint pathways may complement state intake when federal consumer-finance or debt-collection law applies.</w:t>
      </w:r>
    </w:p>
    <w:p w14:paraId="7FA43A8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5A6754B1"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Rhode Island without municipal verification.</w:t>
      </w:r>
    </w:p>
    <w:p w14:paraId="4928F4EC" w14:textId="77777777" w:rsidR="00566B6A" w:rsidRPr="00566B6A" w:rsidRDefault="00566B6A" w:rsidP="00566B6A">
      <w:pPr>
        <w:spacing w:after="0"/>
        <w:rPr>
          <w:rFonts w:ascii="Courier New" w:hAnsi="Courier New" w:cs="Courier New"/>
          <w:bCs/>
          <w:sz w:val="22"/>
        </w:rPr>
      </w:pPr>
    </w:p>
    <w:p w14:paraId="4348EDC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7C694F21" w14:textId="77777777">
        <w:trPr>
          <w:cantSplit/>
          <w:tblHeader/>
          <w:jc w:val="center"/>
        </w:trPr>
        <w:tc>
          <w:tcPr>
            <w:tcW w:w="1440" w:type="dxa"/>
            <w:shd w:val="clear" w:color="auto" w:fill="D9EAF7"/>
            <w:tcMar>
              <w:top w:w="55" w:type="dxa"/>
              <w:left w:w="55" w:type="dxa"/>
              <w:bottom w:w="55" w:type="dxa"/>
              <w:right w:w="55" w:type="dxa"/>
            </w:tcMar>
            <w:vAlign w:val="center"/>
          </w:tcPr>
          <w:p w14:paraId="5FD6E8A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52A7FDB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11BD7EB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2DB4256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730AB25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5EB591C" w14:textId="77777777">
        <w:trPr>
          <w:cantSplit/>
          <w:jc w:val="center"/>
        </w:trPr>
        <w:tc>
          <w:tcPr>
            <w:tcW w:w="1440" w:type="dxa"/>
            <w:tcMar>
              <w:top w:w="50" w:type="dxa"/>
              <w:left w:w="55" w:type="dxa"/>
              <w:bottom w:w="50" w:type="dxa"/>
              <w:right w:w="55" w:type="dxa"/>
            </w:tcMar>
          </w:tcPr>
          <w:p w14:paraId="6F0DB1C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7B6A04D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6-13.1-1–29</w:t>
            </w:r>
          </w:p>
        </w:tc>
        <w:tc>
          <w:tcPr>
            <w:tcW w:w="3168" w:type="dxa"/>
            <w:tcMar>
              <w:top w:w="50" w:type="dxa"/>
              <w:left w:w="55" w:type="dxa"/>
              <w:bottom w:w="50" w:type="dxa"/>
              <w:right w:w="55" w:type="dxa"/>
            </w:tcMar>
          </w:tcPr>
          <w:p w14:paraId="2D47CAE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 unfair or deceptive trade practices</w:t>
            </w:r>
          </w:p>
        </w:tc>
        <w:tc>
          <w:tcPr>
            <w:tcW w:w="3456" w:type="dxa"/>
            <w:tcMar>
              <w:top w:w="50" w:type="dxa"/>
              <w:left w:w="55" w:type="dxa"/>
              <w:bottom w:w="50" w:type="dxa"/>
              <w:right w:w="55" w:type="dxa"/>
            </w:tcMar>
          </w:tcPr>
          <w:p w14:paraId="3640A97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damages/equitable relief; AG injunction and restoration</w:t>
            </w:r>
          </w:p>
        </w:tc>
        <w:tc>
          <w:tcPr>
            <w:tcW w:w="3888" w:type="dxa"/>
            <w:tcMar>
              <w:top w:w="50" w:type="dxa"/>
              <w:left w:w="55" w:type="dxa"/>
              <w:bottom w:w="50" w:type="dxa"/>
              <w:right w:w="55" w:type="dxa"/>
            </w:tcMar>
          </w:tcPr>
          <w:p w14:paraId="69B1D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 loss, exemption and timing records</w:t>
            </w:r>
          </w:p>
        </w:tc>
      </w:tr>
      <w:tr w:rsidR="00756B19" w:rsidRPr="00566B6A" w14:paraId="6C48AF03" w14:textId="77777777">
        <w:trPr>
          <w:cantSplit/>
          <w:jc w:val="center"/>
        </w:trPr>
        <w:tc>
          <w:tcPr>
            <w:tcW w:w="1440" w:type="dxa"/>
            <w:shd w:val="clear" w:color="auto" w:fill="F7FAFC"/>
            <w:tcMar>
              <w:top w:w="50" w:type="dxa"/>
              <w:left w:w="55" w:type="dxa"/>
              <w:bottom w:w="50" w:type="dxa"/>
              <w:right w:w="55" w:type="dxa"/>
            </w:tcMar>
          </w:tcPr>
          <w:p w14:paraId="10C67E7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29EE2E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19-14.9-1–14</w:t>
            </w:r>
          </w:p>
        </w:tc>
        <w:tc>
          <w:tcPr>
            <w:tcW w:w="3168" w:type="dxa"/>
            <w:shd w:val="clear" w:color="auto" w:fill="F7FAFC"/>
            <w:tcMar>
              <w:top w:w="50" w:type="dxa"/>
              <w:left w:w="55" w:type="dxa"/>
              <w:bottom w:w="50" w:type="dxa"/>
              <w:right w:w="55" w:type="dxa"/>
            </w:tcMar>
          </w:tcPr>
          <w:p w14:paraId="318B7E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Debt-collector registration and prohibited conduct</w:t>
            </w:r>
          </w:p>
        </w:tc>
        <w:tc>
          <w:tcPr>
            <w:tcW w:w="3456" w:type="dxa"/>
            <w:shd w:val="clear" w:color="auto" w:fill="F7FAFC"/>
            <w:tcMar>
              <w:top w:w="50" w:type="dxa"/>
              <w:left w:w="55" w:type="dxa"/>
              <w:bottom w:w="50" w:type="dxa"/>
              <w:right w:w="55" w:type="dxa"/>
            </w:tcMar>
          </w:tcPr>
          <w:p w14:paraId="4F7798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Damages, fees, class relief, registration consequences</w:t>
            </w:r>
          </w:p>
        </w:tc>
        <w:tc>
          <w:tcPr>
            <w:tcW w:w="3888" w:type="dxa"/>
            <w:shd w:val="clear" w:color="auto" w:fill="F7FAFC"/>
            <w:tcMar>
              <w:top w:w="50" w:type="dxa"/>
              <w:left w:w="55" w:type="dxa"/>
              <w:bottom w:w="50" w:type="dxa"/>
              <w:right w:w="55" w:type="dxa"/>
            </w:tcMar>
          </w:tcPr>
          <w:p w14:paraId="3A1C57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registration, letters, disputes and ledger</w:t>
            </w:r>
          </w:p>
        </w:tc>
      </w:tr>
      <w:tr w:rsidR="00756B19" w:rsidRPr="00566B6A" w14:paraId="02C5A636" w14:textId="77777777">
        <w:trPr>
          <w:cantSplit/>
          <w:jc w:val="center"/>
        </w:trPr>
        <w:tc>
          <w:tcPr>
            <w:tcW w:w="1440" w:type="dxa"/>
            <w:tcMar>
              <w:top w:w="50" w:type="dxa"/>
              <w:left w:w="55" w:type="dxa"/>
              <w:bottom w:w="50" w:type="dxa"/>
              <w:right w:w="55" w:type="dxa"/>
            </w:tcMar>
          </w:tcPr>
          <w:p w14:paraId="3B6EEE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29B686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6-48-1–9</w:t>
            </w:r>
          </w:p>
        </w:tc>
        <w:tc>
          <w:tcPr>
            <w:tcW w:w="3168" w:type="dxa"/>
            <w:tcMar>
              <w:top w:w="50" w:type="dxa"/>
              <w:left w:w="55" w:type="dxa"/>
              <w:bottom w:w="50" w:type="dxa"/>
              <w:right w:w="55" w:type="dxa"/>
            </w:tcMar>
          </w:tcPr>
          <w:p w14:paraId="5A55D59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29F035C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remedies under § 6-48-7</w:t>
            </w:r>
          </w:p>
        </w:tc>
        <w:tc>
          <w:tcPr>
            <w:tcW w:w="3888" w:type="dxa"/>
            <w:tcMar>
              <w:top w:w="50" w:type="dxa"/>
              <w:left w:w="55" w:type="dxa"/>
              <w:bottom w:w="50" w:type="dxa"/>
              <w:right w:w="55" w:type="dxa"/>
            </w:tcMar>
          </w:tcPr>
          <w:p w14:paraId="7F4B31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record, notice and damages</w:t>
            </w:r>
          </w:p>
        </w:tc>
      </w:tr>
      <w:tr w:rsidR="00756B19" w:rsidRPr="00566B6A" w14:paraId="30D0439C" w14:textId="77777777">
        <w:trPr>
          <w:cantSplit/>
          <w:jc w:val="center"/>
        </w:trPr>
        <w:tc>
          <w:tcPr>
            <w:tcW w:w="1440" w:type="dxa"/>
            <w:shd w:val="clear" w:color="auto" w:fill="F7FAFC"/>
            <w:tcMar>
              <w:top w:w="50" w:type="dxa"/>
              <w:left w:w="55" w:type="dxa"/>
              <w:bottom w:w="50" w:type="dxa"/>
              <w:right w:w="55" w:type="dxa"/>
            </w:tcMar>
          </w:tcPr>
          <w:p w14:paraId="738629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7D01626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11-49.3-1–7</w:t>
            </w:r>
          </w:p>
        </w:tc>
        <w:tc>
          <w:tcPr>
            <w:tcW w:w="3168" w:type="dxa"/>
            <w:shd w:val="clear" w:color="auto" w:fill="F7FAFC"/>
            <w:tcMar>
              <w:top w:w="50" w:type="dxa"/>
              <w:left w:w="55" w:type="dxa"/>
              <w:bottom w:w="50" w:type="dxa"/>
              <w:right w:w="55" w:type="dxa"/>
            </w:tcMar>
          </w:tcPr>
          <w:p w14:paraId="3929B7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duties and breach notification</w:t>
            </w:r>
          </w:p>
        </w:tc>
        <w:tc>
          <w:tcPr>
            <w:tcW w:w="3456" w:type="dxa"/>
            <w:shd w:val="clear" w:color="auto" w:fill="F7FAFC"/>
            <w:tcMar>
              <w:top w:w="50" w:type="dxa"/>
              <w:left w:w="55" w:type="dxa"/>
              <w:bottom w:w="50" w:type="dxa"/>
              <w:right w:w="55" w:type="dxa"/>
            </w:tcMar>
          </w:tcPr>
          <w:p w14:paraId="1069FE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and civil penalties</w:t>
            </w:r>
          </w:p>
        </w:tc>
        <w:tc>
          <w:tcPr>
            <w:tcW w:w="3888" w:type="dxa"/>
            <w:shd w:val="clear" w:color="auto" w:fill="F7FAFC"/>
            <w:tcMar>
              <w:top w:w="50" w:type="dxa"/>
              <w:left w:w="55" w:type="dxa"/>
              <w:bottom w:w="50" w:type="dxa"/>
              <w:right w:w="55" w:type="dxa"/>
            </w:tcMar>
          </w:tcPr>
          <w:p w14:paraId="4D5E2C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affected count, investigation and remediation</w:t>
            </w:r>
          </w:p>
        </w:tc>
      </w:tr>
      <w:tr w:rsidR="00756B19" w:rsidRPr="00566B6A" w14:paraId="4585CB1D" w14:textId="77777777">
        <w:trPr>
          <w:cantSplit/>
          <w:jc w:val="center"/>
        </w:trPr>
        <w:tc>
          <w:tcPr>
            <w:tcW w:w="1440" w:type="dxa"/>
            <w:tcMar>
              <w:top w:w="50" w:type="dxa"/>
              <w:left w:w="55" w:type="dxa"/>
              <w:bottom w:w="50" w:type="dxa"/>
              <w:right w:w="55" w:type="dxa"/>
            </w:tcMar>
          </w:tcPr>
          <w:p w14:paraId="40BE8C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90F49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11-49.1-3</w:t>
            </w:r>
          </w:p>
        </w:tc>
        <w:tc>
          <w:tcPr>
            <w:tcW w:w="3168" w:type="dxa"/>
            <w:tcMar>
              <w:top w:w="50" w:type="dxa"/>
              <w:left w:w="55" w:type="dxa"/>
              <w:bottom w:w="50" w:type="dxa"/>
              <w:right w:w="55" w:type="dxa"/>
            </w:tcMar>
          </w:tcPr>
          <w:p w14:paraId="0A8B51B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fraud</w:t>
            </w:r>
          </w:p>
        </w:tc>
        <w:tc>
          <w:tcPr>
            <w:tcW w:w="3456" w:type="dxa"/>
            <w:tcMar>
              <w:top w:w="50" w:type="dxa"/>
              <w:left w:w="55" w:type="dxa"/>
              <w:bottom w:w="50" w:type="dxa"/>
              <w:right w:w="55" w:type="dxa"/>
            </w:tcMar>
          </w:tcPr>
          <w:p w14:paraId="1DCA8C5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ordered</w:t>
            </w:r>
          </w:p>
        </w:tc>
        <w:tc>
          <w:tcPr>
            <w:tcW w:w="3888" w:type="dxa"/>
            <w:tcMar>
              <w:top w:w="50" w:type="dxa"/>
              <w:left w:w="55" w:type="dxa"/>
              <w:bottom w:w="50" w:type="dxa"/>
              <w:right w:w="55" w:type="dxa"/>
            </w:tcMar>
          </w:tcPr>
          <w:p w14:paraId="7E7765B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and creditor/bureau notices</w:t>
            </w:r>
          </w:p>
        </w:tc>
      </w:tr>
      <w:tr w:rsidR="00756B19" w:rsidRPr="00566B6A" w14:paraId="43083708" w14:textId="77777777">
        <w:trPr>
          <w:cantSplit/>
          <w:jc w:val="center"/>
        </w:trPr>
        <w:tc>
          <w:tcPr>
            <w:tcW w:w="1440" w:type="dxa"/>
            <w:shd w:val="clear" w:color="auto" w:fill="F7FAFC"/>
            <w:tcMar>
              <w:top w:w="50" w:type="dxa"/>
              <w:left w:w="55" w:type="dxa"/>
              <w:bottom w:w="50" w:type="dxa"/>
              <w:right w:w="55" w:type="dxa"/>
            </w:tcMar>
          </w:tcPr>
          <w:p w14:paraId="38CDE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4D841A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Rhode Island AG — Consumer Protection</w:t>
            </w:r>
          </w:p>
        </w:tc>
        <w:tc>
          <w:tcPr>
            <w:tcW w:w="3168" w:type="dxa"/>
            <w:shd w:val="clear" w:color="auto" w:fill="F7FAFC"/>
            <w:tcMar>
              <w:top w:w="50" w:type="dxa"/>
              <w:left w:w="55" w:type="dxa"/>
              <w:bottom w:w="50" w:type="dxa"/>
              <w:right w:w="55" w:type="dxa"/>
            </w:tcMar>
          </w:tcPr>
          <w:p w14:paraId="5FFEB2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DTPA enforcement</w:t>
            </w:r>
          </w:p>
        </w:tc>
        <w:tc>
          <w:tcPr>
            <w:tcW w:w="3456" w:type="dxa"/>
            <w:shd w:val="clear" w:color="auto" w:fill="F7FAFC"/>
            <w:tcMar>
              <w:top w:w="50" w:type="dxa"/>
              <w:left w:w="55" w:type="dxa"/>
              <w:bottom w:w="50" w:type="dxa"/>
              <w:right w:w="55" w:type="dxa"/>
            </w:tcMar>
          </w:tcPr>
          <w:p w14:paraId="49112B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mediation or civil enforcement as authorized</w:t>
            </w:r>
          </w:p>
        </w:tc>
        <w:tc>
          <w:tcPr>
            <w:tcW w:w="3888" w:type="dxa"/>
            <w:shd w:val="clear" w:color="auto" w:fill="F7FAFC"/>
            <w:tcMar>
              <w:top w:w="50" w:type="dxa"/>
              <w:left w:w="55" w:type="dxa"/>
              <w:bottom w:w="50" w:type="dxa"/>
              <w:right w:w="55" w:type="dxa"/>
            </w:tcMar>
          </w:tcPr>
          <w:p w14:paraId="32B0C8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and chronology</w:t>
            </w:r>
          </w:p>
        </w:tc>
      </w:tr>
      <w:tr w:rsidR="00756B19" w:rsidRPr="00566B6A" w14:paraId="53EAB6AD" w14:textId="77777777">
        <w:trPr>
          <w:cantSplit/>
          <w:jc w:val="center"/>
        </w:trPr>
        <w:tc>
          <w:tcPr>
            <w:tcW w:w="1440" w:type="dxa"/>
            <w:tcMar>
              <w:top w:w="50" w:type="dxa"/>
              <w:left w:w="55" w:type="dxa"/>
              <w:bottom w:w="50" w:type="dxa"/>
              <w:right w:w="55" w:type="dxa"/>
            </w:tcMar>
          </w:tcPr>
          <w:p w14:paraId="2D33FC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3E708F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Rhode Island DBR — Division of Banking</w:t>
            </w:r>
          </w:p>
        </w:tc>
        <w:tc>
          <w:tcPr>
            <w:tcW w:w="3168" w:type="dxa"/>
            <w:tcMar>
              <w:top w:w="50" w:type="dxa"/>
              <w:left w:w="55" w:type="dxa"/>
              <w:bottom w:w="50" w:type="dxa"/>
              <w:right w:w="55" w:type="dxa"/>
            </w:tcMar>
          </w:tcPr>
          <w:p w14:paraId="7F326D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Registered debt collectors and regulated financial entities</w:t>
            </w:r>
          </w:p>
        </w:tc>
        <w:tc>
          <w:tcPr>
            <w:tcW w:w="3456" w:type="dxa"/>
            <w:tcMar>
              <w:top w:w="50" w:type="dxa"/>
              <w:left w:w="55" w:type="dxa"/>
              <w:bottom w:w="50" w:type="dxa"/>
              <w:right w:w="55" w:type="dxa"/>
            </w:tcMar>
          </w:tcPr>
          <w:p w14:paraId="4C8D3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review and administrative action where authorized</w:t>
            </w:r>
          </w:p>
        </w:tc>
        <w:tc>
          <w:tcPr>
            <w:tcW w:w="3888" w:type="dxa"/>
            <w:tcMar>
              <w:top w:w="50" w:type="dxa"/>
              <w:left w:w="55" w:type="dxa"/>
              <w:bottom w:w="50" w:type="dxa"/>
              <w:right w:w="55" w:type="dxa"/>
            </w:tcMar>
          </w:tcPr>
          <w:p w14:paraId="614FF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lookup, complaint and regulator correspondence</w:t>
            </w:r>
          </w:p>
        </w:tc>
      </w:tr>
      <w:tr w:rsidR="00756B19" w:rsidRPr="00566B6A" w14:paraId="70D2EBBD" w14:textId="77777777">
        <w:trPr>
          <w:cantSplit/>
          <w:jc w:val="center"/>
        </w:trPr>
        <w:tc>
          <w:tcPr>
            <w:tcW w:w="1440" w:type="dxa"/>
            <w:shd w:val="clear" w:color="auto" w:fill="F7FAFC"/>
            <w:tcMar>
              <w:top w:w="50" w:type="dxa"/>
              <w:left w:w="55" w:type="dxa"/>
              <w:bottom w:w="50" w:type="dxa"/>
              <w:right w:w="55" w:type="dxa"/>
            </w:tcMar>
          </w:tcPr>
          <w:p w14:paraId="6E6EE3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2F08C8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7EFEF17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5824E9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430D50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Rhode Island and federal frameworks</w:t>
            </w:r>
          </w:p>
        </w:tc>
      </w:tr>
      <w:tr w:rsidR="00756B19" w:rsidRPr="00566B6A" w14:paraId="0645A507" w14:textId="77777777">
        <w:trPr>
          <w:jc w:val="center"/>
        </w:trPr>
        <w:tc>
          <w:tcPr>
            <w:tcW w:w="1440" w:type="dxa"/>
          </w:tcPr>
          <w:p w14:paraId="66AAADD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3CDB040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3935E62B"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63CBDBDB"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1EBE5167"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7CE9A518" w14:textId="77777777">
        <w:trPr>
          <w:jc w:val="center"/>
        </w:trPr>
        <w:tc>
          <w:tcPr>
            <w:tcW w:w="1440" w:type="dxa"/>
          </w:tcPr>
          <w:p w14:paraId="38D8B165"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6C1A3DD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45C34C41"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705129DC"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74BFCB5D"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A97B4D8" w14:textId="77777777">
        <w:trPr>
          <w:jc w:val="center"/>
        </w:trPr>
        <w:tc>
          <w:tcPr>
            <w:tcW w:w="1440" w:type="dxa"/>
          </w:tcPr>
          <w:p w14:paraId="2A6F82BB"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12F700E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8EA3D8A"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D47A3A3"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005D6927"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4901745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DA47A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Rhode Island (RI)</w:t>
      </w:r>
    </w:p>
    <w:p w14:paraId="6BFC5165"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federal District of Rhode Island case applying the FDCPA and Rhode Island registration law; it does not create a state-court holding.</w:t>
      </w:r>
    </w:p>
    <w:p w14:paraId="49CB8D9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41A4B593" w14:textId="77777777">
        <w:trPr>
          <w:cantSplit/>
          <w:tblHeader/>
          <w:jc w:val="center"/>
        </w:trPr>
        <w:tc>
          <w:tcPr>
            <w:tcW w:w="2232" w:type="dxa"/>
            <w:shd w:val="clear" w:color="auto" w:fill="D9EAF7"/>
            <w:tcMar>
              <w:top w:w="55" w:type="dxa"/>
              <w:left w:w="55" w:type="dxa"/>
              <w:bottom w:w="55" w:type="dxa"/>
              <w:right w:w="55" w:type="dxa"/>
            </w:tcMar>
            <w:vAlign w:val="center"/>
          </w:tcPr>
          <w:p w14:paraId="2102F9E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A38C61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3F133CC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00FD73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5AC03DE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C13E0D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5BC0B93" w14:textId="77777777">
        <w:trPr>
          <w:cantSplit/>
          <w:jc w:val="center"/>
        </w:trPr>
        <w:tc>
          <w:tcPr>
            <w:tcW w:w="2232" w:type="dxa"/>
            <w:tcMar>
              <w:top w:w="50" w:type="dxa"/>
              <w:left w:w="55" w:type="dxa"/>
              <w:bottom w:w="50" w:type="dxa"/>
              <w:right w:w="55" w:type="dxa"/>
            </w:tcMar>
          </w:tcPr>
          <w:p w14:paraId="66D6A7B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Park v. Ford Motor Co.</w:t>
            </w:r>
          </w:p>
        </w:tc>
        <w:tc>
          <w:tcPr>
            <w:tcW w:w="1152" w:type="dxa"/>
            <w:tcMar>
              <w:top w:w="50" w:type="dxa"/>
              <w:left w:w="55" w:type="dxa"/>
              <w:bottom w:w="50" w:type="dxa"/>
              <w:right w:w="55" w:type="dxa"/>
            </w:tcMar>
          </w:tcPr>
          <w:p w14:paraId="53ECCCC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tcMar>
              <w:top w:w="50" w:type="dxa"/>
              <w:left w:w="55" w:type="dxa"/>
              <w:bottom w:w="50" w:type="dxa"/>
              <w:right w:w="55" w:type="dxa"/>
            </w:tcMar>
          </w:tcPr>
          <w:p w14:paraId="3E77E7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18FBB59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687</w:t>
            </w:r>
          </w:p>
        </w:tc>
        <w:tc>
          <w:tcPr>
            <w:tcW w:w="4536" w:type="dxa"/>
            <w:tcMar>
              <w:top w:w="50" w:type="dxa"/>
              <w:left w:w="55" w:type="dxa"/>
              <w:bottom w:w="50" w:type="dxa"/>
              <w:right w:w="55" w:type="dxa"/>
            </w:tcMar>
          </w:tcPr>
          <w:p w14:paraId="0B731F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alleging an ascertainable loss from an unlawful trade practice may proceed under the DTPA; reversed dismissal concerning equipment listed on a vehicle sticker.</w:t>
            </w:r>
          </w:p>
        </w:tc>
        <w:tc>
          <w:tcPr>
            <w:tcW w:w="3643" w:type="dxa"/>
            <w:tcMar>
              <w:top w:w="50" w:type="dxa"/>
              <w:left w:w="55" w:type="dxa"/>
              <w:bottom w:w="50" w:type="dxa"/>
              <w:right w:w="55" w:type="dxa"/>
            </w:tcMar>
          </w:tcPr>
          <w:p w14:paraId="5A82C4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sticker, contract, product specifications, communications, and proof of measurable loss.</w:t>
            </w:r>
          </w:p>
        </w:tc>
      </w:tr>
      <w:tr w:rsidR="00756B19" w:rsidRPr="00566B6A" w14:paraId="7705EA69" w14:textId="77777777">
        <w:trPr>
          <w:cantSplit/>
          <w:jc w:val="center"/>
        </w:trPr>
        <w:tc>
          <w:tcPr>
            <w:tcW w:w="2232" w:type="dxa"/>
            <w:shd w:val="clear" w:color="auto" w:fill="F7FAFC"/>
            <w:tcMar>
              <w:top w:w="50" w:type="dxa"/>
              <w:left w:w="55" w:type="dxa"/>
              <w:bottom w:w="50" w:type="dxa"/>
              <w:right w:w="55" w:type="dxa"/>
            </w:tcMar>
          </w:tcPr>
          <w:p w14:paraId="7A14ED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Chavers v. Fleet Bank (RI), N.A.</w:t>
            </w:r>
          </w:p>
        </w:tc>
        <w:tc>
          <w:tcPr>
            <w:tcW w:w="1152" w:type="dxa"/>
            <w:shd w:val="clear" w:color="auto" w:fill="F7FAFC"/>
            <w:tcMar>
              <w:top w:w="50" w:type="dxa"/>
              <w:left w:w="55" w:type="dxa"/>
              <w:bottom w:w="50" w:type="dxa"/>
              <w:right w:w="55" w:type="dxa"/>
            </w:tcMar>
          </w:tcPr>
          <w:p w14:paraId="0FF6A4A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shd w:val="clear" w:color="auto" w:fill="F7FAFC"/>
            <w:tcMar>
              <w:top w:w="50" w:type="dxa"/>
              <w:left w:w="55" w:type="dxa"/>
              <w:bottom w:w="50" w:type="dxa"/>
              <w:right w:w="55" w:type="dxa"/>
            </w:tcMar>
          </w:tcPr>
          <w:p w14:paraId="0417AB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1B2111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666</w:t>
            </w:r>
          </w:p>
        </w:tc>
        <w:tc>
          <w:tcPr>
            <w:tcW w:w="4536" w:type="dxa"/>
            <w:shd w:val="clear" w:color="auto" w:fill="F7FAFC"/>
            <w:tcMar>
              <w:top w:w="50" w:type="dxa"/>
              <w:left w:w="55" w:type="dxa"/>
              <w:bottom w:w="50" w:type="dxa"/>
              <w:right w:w="55" w:type="dxa"/>
            </w:tcMar>
          </w:tcPr>
          <w:p w14:paraId="5EB1707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DTPA exemption because the challenged credit-card solicitations were subject to enforcement authority of the Office of the Comptroller of the Currency.</w:t>
            </w:r>
          </w:p>
        </w:tc>
        <w:tc>
          <w:tcPr>
            <w:tcW w:w="3643" w:type="dxa"/>
            <w:shd w:val="clear" w:color="auto" w:fill="F7FAFC"/>
            <w:tcMar>
              <w:top w:w="50" w:type="dxa"/>
              <w:left w:w="55" w:type="dxa"/>
              <w:bottom w:w="50" w:type="dxa"/>
              <w:right w:w="55" w:type="dxa"/>
            </w:tcMar>
          </w:tcPr>
          <w:p w14:paraId="5834A76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regulator and statutory authority governing the precise conduct; preserve solicitations, terms, notices, and exemption facts.</w:t>
            </w:r>
          </w:p>
        </w:tc>
      </w:tr>
    </w:tbl>
    <w:p w14:paraId="38FEA47F" w14:textId="77777777" w:rsidR="00756B19" w:rsidRPr="00566B6A" w:rsidRDefault="00756B19">
      <w:pPr>
        <w:spacing w:after="20"/>
        <w:rPr>
          <w:rFonts w:ascii="Courier New" w:hAnsi="Courier New" w:cs="Courier New"/>
          <w:sz w:val="22"/>
        </w:rPr>
      </w:pPr>
    </w:p>
    <w:p w14:paraId="1BF97AC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BBA3BFD" w14:textId="77777777">
        <w:trPr>
          <w:cantSplit/>
          <w:tblHeader/>
          <w:jc w:val="center"/>
        </w:trPr>
        <w:tc>
          <w:tcPr>
            <w:tcW w:w="2232" w:type="dxa"/>
            <w:shd w:val="clear" w:color="auto" w:fill="D9EAF7"/>
            <w:tcMar>
              <w:top w:w="55" w:type="dxa"/>
              <w:left w:w="55" w:type="dxa"/>
              <w:bottom w:w="55" w:type="dxa"/>
              <w:right w:w="55" w:type="dxa"/>
            </w:tcMar>
            <w:vAlign w:val="center"/>
          </w:tcPr>
          <w:p w14:paraId="4CE7C13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1EC392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E59E67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9EB0D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396E7F7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5F1CB78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5E9C9038" w14:textId="77777777">
        <w:trPr>
          <w:cantSplit/>
          <w:jc w:val="center"/>
        </w:trPr>
        <w:tc>
          <w:tcPr>
            <w:tcW w:w="2232" w:type="dxa"/>
            <w:tcMar>
              <w:top w:w="50" w:type="dxa"/>
              <w:left w:w="55" w:type="dxa"/>
              <w:bottom w:w="50" w:type="dxa"/>
              <w:right w:w="55" w:type="dxa"/>
            </w:tcMar>
          </w:tcPr>
          <w:p w14:paraId="629C59B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Fiorenzano v. LVNV Funding, LLC</w:t>
            </w:r>
          </w:p>
        </w:tc>
        <w:tc>
          <w:tcPr>
            <w:tcW w:w="1152" w:type="dxa"/>
            <w:tcMar>
              <w:top w:w="50" w:type="dxa"/>
              <w:left w:w="55" w:type="dxa"/>
              <w:bottom w:w="50" w:type="dxa"/>
              <w:right w:w="55" w:type="dxa"/>
            </w:tcMar>
          </w:tcPr>
          <w:p w14:paraId="232A7E4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D.R.I.</w:t>
            </w:r>
          </w:p>
        </w:tc>
        <w:tc>
          <w:tcPr>
            <w:tcW w:w="748" w:type="dxa"/>
            <w:tcMar>
              <w:top w:w="50" w:type="dxa"/>
              <w:left w:w="55" w:type="dxa"/>
              <w:bottom w:w="50" w:type="dxa"/>
              <w:right w:w="55" w:type="dxa"/>
            </w:tcMar>
          </w:tcPr>
          <w:p w14:paraId="303A1C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40698C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WL 2562415</w:t>
            </w:r>
          </w:p>
        </w:tc>
        <w:tc>
          <w:tcPr>
            <w:tcW w:w="4536" w:type="dxa"/>
            <w:tcMar>
              <w:top w:w="50" w:type="dxa"/>
              <w:left w:w="55" w:type="dxa"/>
              <w:bottom w:w="50" w:type="dxa"/>
              <w:right w:w="55" w:type="dxa"/>
            </w:tcMar>
          </w:tcPr>
          <w:p w14:paraId="2C46C58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Denied dismissal where allegations that a debt buyer required Rhode Island registration plausibly supported FDCPA false, deceptive, or unfair-practice claims.</w:t>
            </w:r>
          </w:p>
        </w:tc>
        <w:tc>
          <w:tcPr>
            <w:tcW w:w="3643" w:type="dxa"/>
            <w:tcMar>
              <w:top w:w="50" w:type="dxa"/>
              <w:left w:w="55" w:type="dxa"/>
              <w:bottom w:w="50" w:type="dxa"/>
              <w:right w:w="55" w:type="dxa"/>
            </w:tcMar>
          </w:tcPr>
          <w:p w14:paraId="3214AF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searches, acquisition records, collection letters, amounts demanded, and the communication chronology.</w:t>
            </w:r>
          </w:p>
        </w:tc>
      </w:tr>
    </w:tbl>
    <w:p w14:paraId="37559753" w14:textId="77777777" w:rsidR="00756B19" w:rsidRPr="00566B6A" w:rsidRDefault="00756B19">
      <w:pPr>
        <w:spacing w:after="20"/>
        <w:rPr>
          <w:rFonts w:ascii="Courier New" w:hAnsi="Courier New" w:cs="Courier New"/>
          <w:sz w:val="22"/>
        </w:rPr>
      </w:pPr>
    </w:p>
    <w:p w14:paraId="699B22F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33B1EA01" w14:textId="77777777">
        <w:trPr>
          <w:cantSplit/>
          <w:tblHeader/>
          <w:jc w:val="center"/>
        </w:trPr>
        <w:tc>
          <w:tcPr>
            <w:tcW w:w="2232" w:type="dxa"/>
            <w:shd w:val="clear" w:color="auto" w:fill="D9EAF7"/>
            <w:tcMar>
              <w:top w:w="55" w:type="dxa"/>
              <w:left w:w="55" w:type="dxa"/>
              <w:bottom w:w="55" w:type="dxa"/>
              <w:right w:w="55" w:type="dxa"/>
            </w:tcMar>
            <w:vAlign w:val="center"/>
          </w:tcPr>
          <w:p w14:paraId="7F99596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908F3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768EF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7FAEBCD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D8F81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56661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47879CB" w14:textId="77777777">
        <w:trPr>
          <w:cantSplit/>
          <w:jc w:val="center"/>
        </w:trPr>
        <w:tc>
          <w:tcPr>
            <w:tcW w:w="2232" w:type="dxa"/>
            <w:tcMar>
              <w:top w:w="50" w:type="dxa"/>
              <w:left w:w="55" w:type="dxa"/>
              <w:bottom w:w="50" w:type="dxa"/>
              <w:right w:w="55" w:type="dxa"/>
            </w:tcMar>
          </w:tcPr>
          <w:p w14:paraId="4B6AEB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Park v. Ford Motor Co.</w:t>
            </w:r>
          </w:p>
        </w:tc>
        <w:tc>
          <w:tcPr>
            <w:tcW w:w="1152" w:type="dxa"/>
            <w:tcMar>
              <w:top w:w="50" w:type="dxa"/>
              <w:left w:w="55" w:type="dxa"/>
              <w:bottom w:w="50" w:type="dxa"/>
              <w:right w:w="55" w:type="dxa"/>
            </w:tcMar>
          </w:tcPr>
          <w:p w14:paraId="5FCDDE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tcMar>
              <w:top w:w="50" w:type="dxa"/>
              <w:left w:w="55" w:type="dxa"/>
              <w:bottom w:w="50" w:type="dxa"/>
              <w:right w:w="55" w:type="dxa"/>
            </w:tcMar>
          </w:tcPr>
          <w:p w14:paraId="77D4AF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3554B85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687</w:t>
            </w:r>
          </w:p>
        </w:tc>
        <w:tc>
          <w:tcPr>
            <w:tcW w:w="4536" w:type="dxa"/>
            <w:tcMar>
              <w:top w:w="50" w:type="dxa"/>
              <w:left w:w="55" w:type="dxa"/>
              <w:bottom w:w="50" w:type="dxa"/>
              <w:right w:w="55" w:type="dxa"/>
            </w:tcMar>
          </w:tcPr>
          <w:p w14:paraId="0E31C0F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alleging an ascertainable loss from an unlawful trade practice may proceed under the DTPA; reversed dismissal concerning equipment listed on a vehicle sticker.</w:t>
            </w:r>
          </w:p>
        </w:tc>
        <w:tc>
          <w:tcPr>
            <w:tcW w:w="3643" w:type="dxa"/>
            <w:tcMar>
              <w:top w:w="50" w:type="dxa"/>
              <w:left w:w="55" w:type="dxa"/>
              <w:bottom w:w="50" w:type="dxa"/>
              <w:right w:w="55" w:type="dxa"/>
            </w:tcMar>
          </w:tcPr>
          <w:p w14:paraId="25C3D2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sticker, contract, product specifications, communications, and proof of measurable loss.</w:t>
            </w:r>
          </w:p>
        </w:tc>
      </w:tr>
      <w:tr w:rsidR="00756B19" w:rsidRPr="00566B6A" w14:paraId="71B5F5E3" w14:textId="77777777">
        <w:trPr>
          <w:cantSplit/>
          <w:jc w:val="center"/>
        </w:trPr>
        <w:tc>
          <w:tcPr>
            <w:tcW w:w="2232" w:type="dxa"/>
            <w:shd w:val="clear" w:color="auto" w:fill="F7FAFC"/>
            <w:tcMar>
              <w:top w:w="50" w:type="dxa"/>
              <w:left w:w="55" w:type="dxa"/>
              <w:bottom w:w="50" w:type="dxa"/>
              <w:right w:w="55" w:type="dxa"/>
            </w:tcMar>
          </w:tcPr>
          <w:p w14:paraId="7CE558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Chavers v. Fleet Bank (RI), N.A.</w:t>
            </w:r>
          </w:p>
        </w:tc>
        <w:tc>
          <w:tcPr>
            <w:tcW w:w="1152" w:type="dxa"/>
            <w:shd w:val="clear" w:color="auto" w:fill="F7FAFC"/>
            <w:tcMar>
              <w:top w:w="50" w:type="dxa"/>
              <w:left w:w="55" w:type="dxa"/>
              <w:bottom w:w="50" w:type="dxa"/>
              <w:right w:w="55" w:type="dxa"/>
            </w:tcMar>
          </w:tcPr>
          <w:p w14:paraId="05804A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shd w:val="clear" w:color="auto" w:fill="F7FAFC"/>
            <w:tcMar>
              <w:top w:w="50" w:type="dxa"/>
              <w:left w:w="55" w:type="dxa"/>
              <w:bottom w:w="50" w:type="dxa"/>
              <w:right w:w="55" w:type="dxa"/>
            </w:tcMar>
          </w:tcPr>
          <w:p w14:paraId="25B95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520271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666</w:t>
            </w:r>
          </w:p>
        </w:tc>
        <w:tc>
          <w:tcPr>
            <w:tcW w:w="4536" w:type="dxa"/>
            <w:shd w:val="clear" w:color="auto" w:fill="F7FAFC"/>
            <w:tcMar>
              <w:top w:w="50" w:type="dxa"/>
              <w:left w:w="55" w:type="dxa"/>
              <w:bottom w:w="50" w:type="dxa"/>
              <w:right w:w="55" w:type="dxa"/>
            </w:tcMar>
          </w:tcPr>
          <w:p w14:paraId="42C193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DTPA exemption because the challenged credit-card solicitations were subject to enforcement authority of the Office of the Comptroller of the Currency.</w:t>
            </w:r>
          </w:p>
        </w:tc>
        <w:tc>
          <w:tcPr>
            <w:tcW w:w="3643" w:type="dxa"/>
            <w:shd w:val="clear" w:color="auto" w:fill="F7FAFC"/>
            <w:tcMar>
              <w:top w:w="50" w:type="dxa"/>
              <w:left w:w="55" w:type="dxa"/>
              <w:bottom w:w="50" w:type="dxa"/>
              <w:right w:w="55" w:type="dxa"/>
            </w:tcMar>
          </w:tcPr>
          <w:p w14:paraId="173BF1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regulator and statutory authority governing the precise conduct; preserve solicitations, terms, notices, and exemption facts.</w:t>
            </w:r>
          </w:p>
        </w:tc>
      </w:tr>
      <w:tr w:rsidR="00756B19" w:rsidRPr="00566B6A" w14:paraId="5C122C4B" w14:textId="77777777">
        <w:trPr>
          <w:cantSplit/>
          <w:jc w:val="center"/>
        </w:trPr>
        <w:tc>
          <w:tcPr>
            <w:tcW w:w="2232" w:type="dxa"/>
            <w:tcMar>
              <w:top w:w="50" w:type="dxa"/>
              <w:left w:w="55" w:type="dxa"/>
              <w:bottom w:w="50" w:type="dxa"/>
              <w:right w:w="55" w:type="dxa"/>
            </w:tcMar>
          </w:tcPr>
          <w:p w14:paraId="6CA70CE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Fiorenzano v. LVNV Funding, LLC</w:t>
            </w:r>
          </w:p>
        </w:tc>
        <w:tc>
          <w:tcPr>
            <w:tcW w:w="1152" w:type="dxa"/>
            <w:tcMar>
              <w:top w:w="50" w:type="dxa"/>
              <w:left w:w="55" w:type="dxa"/>
              <w:bottom w:w="50" w:type="dxa"/>
              <w:right w:w="55" w:type="dxa"/>
            </w:tcMar>
          </w:tcPr>
          <w:p w14:paraId="5FA816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D.R.I.</w:t>
            </w:r>
          </w:p>
        </w:tc>
        <w:tc>
          <w:tcPr>
            <w:tcW w:w="748" w:type="dxa"/>
            <w:tcMar>
              <w:top w:w="50" w:type="dxa"/>
              <w:left w:w="55" w:type="dxa"/>
              <w:bottom w:w="50" w:type="dxa"/>
              <w:right w:w="55" w:type="dxa"/>
            </w:tcMar>
          </w:tcPr>
          <w:p w14:paraId="4E6A5E9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61BC33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WL 2562415</w:t>
            </w:r>
          </w:p>
        </w:tc>
        <w:tc>
          <w:tcPr>
            <w:tcW w:w="4536" w:type="dxa"/>
            <w:tcMar>
              <w:top w:w="50" w:type="dxa"/>
              <w:left w:w="55" w:type="dxa"/>
              <w:bottom w:w="50" w:type="dxa"/>
              <w:right w:w="55" w:type="dxa"/>
            </w:tcMar>
          </w:tcPr>
          <w:p w14:paraId="0C0FC0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Denied dismissal where allegations that a debt buyer required Rhode Island registration plausibly supported FDCPA false, deceptive, or unfair-practice claims.</w:t>
            </w:r>
          </w:p>
        </w:tc>
        <w:tc>
          <w:tcPr>
            <w:tcW w:w="3643" w:type="dxa"/>
            <w:tcMar>
              <w:top w:w="50" w:type="dxa"/>
              <w:left w:w="55" w:type="dxa"/>
              <w:bottom w:w="50" w:type="dxa"/>
              <w:right w:w="55" w:type="dxa"/>
            </w:tcMar>
          </w:tcPr>
          <w:p w14:paraId="536B727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searches, acquisition records, collection letters, amounts demanded, and the communication chronology.</w:t>
            </w:r>
          </w:p>
        </w:tc>
      </w:tr>
    </w:tbl>
    <w:p w14:paraId="403A31E2" w14:textId="77777777" w:rsidR="00756B19" w:rsidRPr="00566B6A" w:rsidRDefault="00756B19">
      <w:pPr>
        <w:spacing w:after="20"/>
        <w:rPr>
          <w:rFonts w:ascii="Courier New" w:hAnsi="Courier New" w:cs="Courier New"/>
          <w:sz w:val="22"/>
        </w:rPr>
      </w:pPr>
    </w:p>
    <w:p w14:paraId="13986F8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59FAC835"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04DF8E5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0F65825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444532EB"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Rhode Island claims that duplicate or conflict with those duties may be preemption-sensitive.</w:t>
      </w:r>
    </w:p>
    <w:p w14:paraId="2DBF44E1" w14:textId="77777777" w:rsidR="00964317" w:rsidRPr="00566B6A" w:rsidRDefault="00964317">
      <w:pPr>
        <w:spacing w:after="60"/>
        <w:rPr>
          <w:rFonts w:ascii="Courier New" w:hAnsi="Courier New" w:cs="Courier New"/>
          <w:sz w:val="22"/>
        </w:rPr>
      </w:pPr>
    </w:p>
    <w:p w14:paraId="1DC2279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31CBD5EB" w14:textId="77777777">
        <w:trPr>
          <w:cantSplit/>
          <w:tblHeader/>
          <w:jc w:val="center"/>
        </w:trPr>
        <w:tc>
          <w:tcPr>
            <w:tcW w:w="2232" w:type="dxa"/>
            <w:shd w:val="clear" w:color="auto" w:fill="D9EAF7"/>
            <w:tcMar>
              <w:top w:w="55" w:type="dxa"/>
              <w:left w:w="55" w:type="dxa"/>
              <w:bottom w:w="55" w:type="dxa"/>
              <w:right w:w="55" w:type="dxa"/>
            </w:tcMar>
            <w:vAlign w:val="center"/>
          </w:tcPr>
          <w:p w14:paraId="3C76442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2021FDD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Rhode Island Authority</w:t>
            </w:r>
          </w:p>
        </w:tc>
        <w:tc>
          <w:tcPr>
            <w:tcW w:w="1080" w:type="dxa"/>
            <w:shd w:val="clear" w:color="auto" w:fill="D9EAF7"/>
            <w:tcMar>
              <w:top w:w="55" w:type="dxa"/>
              <w:left w:w="55" w:type="dxa"/>
              <w:bottom w:w="55" w:type="dxa"/>
              <w:right w:w="55" w:type="dxa"/>
            </w:tcMar>
            <w:vAlign w:val="center"/>
          </w:tcPr>
          <w:p w14:paraId="5312E66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171D24E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41E847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D04BE4D" w14:textId="77777777">
        <w:trPr>
          <w:cantSplit/>
          <w:jc w:val="center"/>
        </w:trPr>
        <w:tc>
          <w:tcPr>
            <w:tcW w:w="2232" w:type="dxa"/>
            <w:tcMar>
              <w:top w:w="50" w:type="dxa"/>
              <w:left w:w="55" w:type="dxa"/>
              <w:bottom w:w="50" w:type="dxa"/>
              <w:right w:w="55" w:type="dxa"/>
            </w:tcMar>
          </w:tcPr>
          <w:p w14:paraId="73DA5D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1B3A576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Rhode Island mini-FCRA identified; Chapter 6-48 addresses freezes</w:t>
            </w:r>
          </w:p>
        </w:tc>
        <w:tc>
          <w:tcPr>
            <w:tcW w:w="1080" w:type="dxa"/>
            <w:tcMar>
              <w:top w:w="50" w:type="dxa"/>
              <w:left w:w="55" w:type="dxa"/>
              <w:bottom w:w="50" w:type="dxa"/>
              <w:right w:w="55" w:type="dxa"/>
            </w:tcMar>
          </w:tcPr>
          <w:p w14:paraId="2836AF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55051D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405AF8B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parallel state reporting duties without authority.</w:t>
            </w:r>
          </w:p>
        </w:tc>
      </w:tr>
      <w:tr w:rsidR="00756B19" w:rsidRPr="00566B6A" w14:paraId="0C800F44" w14:textId="77777777">
        <w:trPr>
          <w:cantSplit/>
          <w:jc w:val="center"/>
        </w:trPr>
        <w:tc>
          <w:tcPr>
            <w:tcW w:w="2232" w:type="dxa"/>
            <w:shd w:val="clear" w:color="auto" w:fill="F7FAFC"/>
            <w:tcMar>
              <w:top w:w="50" w:type="dxa"/>
              <w:left w:w="55" w:type="dxa"/>
              <w:bottom w:w="50" w:type="dxa"/>
              <w:right w:w="55" w:type="dxa"/>
            </w:tcMar>
          </w:tcPr>
          <w:p w14:paraId="3A057B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7F6B0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Rhode Island law only for distinct conduct</w:t>
            </w:r>
          </w:p>
        </w:tc>
        <w:tc>
          <w:tcPr>
            <w:tcW w:w="1080" w:type="dxa"/>
            <w:shd w:val="clear" w:color="auto" w:fill="F7FAFC"/>
            <w:tcMar>
              <w:top w:w="50" w:type="dxa"/>
              <w:left w:w="55" w:type="dxa"/>
              <w:bottom w:w="50" w:type="dxa"/>
              <w:right w:w="55" w:type="dxa"/>
            </w:tcMar>
          </w:tcPr>
          <w:p w14:paraId="476956D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2F34675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086E5A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bureau-dispute notice trail.</w:t>
            </w:r>
          </w:p>
        </w:tc>
      </w:tr>
      <w:tr w:rsidR="00756B19" w:rsidRPr="00566B6A" w14:paraId="4CC5EF29" w14:textId="77777777">
        <w:trPr>
          <w:cantSplit/>
          <w:jc w:val="center"/>
        </w:trPr>
        <w:tc>
          <w:tcPr>
            <w:tcW w:w="2232" w:type="dxa"/>
            <w:tcMar>
              <w:top w:w="50" w:type="dxa"/>
              <w:left w:w="55" w:type="dxa"/>
              <w:bottom w:w="50" w:type="dxa"/>
              <w:right w:w="55" w:type="dxa"/>
            </w:tcMar>
          </w:tcPr>
          <w:p w14:paraId="27D665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671197E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11-49.1-3</w:t>
            </w:r>
          </w:p>
        </w:tc>
        <w:tc>
          <w:tcPr>
            <w:tcW w:w="1080" w:type="dxa"/>
            <w:tcMar>
              <w:top w:w="50" w:type="dxa"/>
              <w:left w:w="55" w:type="dxa"/>
              <w:bottom w:w="50" w:type="dxa"/>
              <w:right w:w="55" w:type="dxa"/>
            </w:tcMar>
          </w:tcPr>
          <w:p w14:paraId="28FD727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1E1C977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49EAB8F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identity-theft reports and federal blocking requests.</w:t>
            </w:r>
          </w:p>
        </w:tc>
      </w:tr>
      <w:tr w:rsidR="00756B19" w:rsidRPr="00566B6A" w14:paraId="2CFAAA60" w14:textId="77777777">
        <w:trPr>
          <w:cantSplit/>
          <w:jc w:val="center"/>
        </w:trPr>
        <w:tc>
          <w:tcPr>
            <w:tcW w:w="2232" w:type="dxa"/>
            <w:shd w:val="clear" w:color="auto" w:fill="F7FAFC"/>
            <w:tcMar>
              <w:top w:w="50" w:type="dxa"/>
              <w:left w:w="55" w:type="dxa"/>
              <w:bottom w:w="50" w:type="dxa"/>
              <w:right w:w="55" w:type="dxa"/>
            </w:tcMar>
          </w:tcPr>
          <w:p w14:paraId="6074C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7B7C98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19-14.9-1–14; FDCPA</w:t>
            </w:r>
          </w:p>
        </w:tc>
        <w:tc>
          <w:tcPr>
            <w:tcW w:w="1080" w:type="dxa"/>
            <w:shd w:val="clear" w:color="auto" w:fill="F7FAFC"/>
            <w:tcMar>
              <w:top w:w="50" w:type="dxa"/>
              <w:left w:w="55" w:type="dxa"/>
              <w:bottom w:w="50" w:type="dxa"/>
              <w:right w:w="55" w:type="dxa"/>
            </w:tcMar>
          </w:tcPr>
          <w:p w14:paraId="75E13E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5D288F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782134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disputes, registration and amount records.</w:t>
            </w:r>
          </w:p>
        </w:tc>
      </w:tr>
      <w:tr w:rsidR="00756B19" w:rsidRPr="00566B6A" w14:paraId="43FC354A" w14:textId="77777777">
        <w:trPr>
          <w:cantSplit/>
          <w:jc w:val="center"/>
        </w:trPr>
        <w:tc>
          <w:tcPr>
            <w:tcW w:w="2232" w:type="dxa"/>
            <w:tcMar>
              <w:top w:w="50" w:type="dxa"/>
              <w:left w:w="55" w:type="dxa"/>
              <w:bottom w:w="50" w:type="dxa"/>
              <w:right w:w="55" w:type="dxa"/>
            </w:tcMar>
          </w:tcPr>
          <w:p w14:paraId="2766DE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0613C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6-48-1–9</w:t>
            </w:r>
          </w:p>
        </w:tc>
        <w:tc>
          <w:tcPr>
            <w:tcW w:w="1080" w:type="dxa"/>
            <w:tcMar>
              <w:top w:w="50" w:type="dxa"/>
              <w:left w:w="55" w:type="dxa"/>
              <w:bottom w:w="50" w:type="dxa"/>
              <w:right w:w="55" w:type="dxa"/>
            </w:tcMar>
          </w:tcPr>
          <w:p w14:paraId="1D5C4D3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90B9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4C5716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and damages.</w:t>
            </w:r>
          </w:p>
        </w:tc>
      </w:tr>
      <w:tr w:rsidR="00756B19" w:rsidRPr="00566B6A" w14:paraId="3D510AA0" w14:textId="77777777">
        <w:trPr>
          <w:cantSplit/>
          <w:jc w:val="center"/>
        </w:trPr>
        <w:tc>
          <w:tcPr>
            <w:tcW w:w="2232" w:type="dxa"/>
            <w:shd w:val="clear" w:color="auto" w:fill="F7FAFC"/>
            <w:tcMar>
              <w:top w:w="50" w:type="dxa"/>
              <w:left w:w="55" w:type="dxa"/>
              <w:bottom w:w="50" w:type="dxa"/>
              <w:right w:w="55" w:type="dxa"/>
            </w:tcMar>
          </w:tcPr>
          <w:p w14:paraId="3D9534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20117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Gen. Laws §§ 11-49.3-1–7; §§ 6-48.1-1–10</w:t>
            </w:r>
          </w:p>
        </w:tc>
        <w:tc>
          <w:tcPr>
            <w:tcW w:w="1080" w:type="dxa"/>
            <w:shd w:val="clear" w:color="auto" w:fill="F7FAFC"/>
            <w:tcMar>
              <w:top w:w="50" w:type="dxa"/>
              <w:left w:w="55" w:type="dxa"/>
              <w:bottom w:w="50" w:type="dxa"/>
              <w:right w:w="55" w:type="dxa"/>
            </w:tcMar>
          </w:tcPr>
          <w:p w14:paraId="586F4D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410AF4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C4425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notices, dates, affected count, investigation and regulator records.</w:t>
            </w:r>
          </w:p>
        </w:tc>
      </w:tr>
      <w:tr w:rsidR="00756B19" w:rsidRPr="00566B6A" w14:paraId="14063156" w14:textId="77777777">
        <w:trPr>
          <w:cantSplit/>
          <w:jc w:val="center"/>
        </w:trPr>
        <w:tc>
          <w:tcPr>
            <w:tcW w:w="2232" w:type="dxa"/>
            <w:tcMar>
              <w:top w:w="50" w:type="dxa"/>
              <w:left w:w="55" w:type="dxa"/>
              <w:bottom w:w="50" w:type="dxa"/>
              <w:right w:w="55" w:type="dxa"/>
            </w:tcMar>
          </w:tcPr>
          <w:p w14:paraId="691179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5E68B0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 6-13.1-1–29</w:t>
            </w:r>
          </w:p>
        </w:tc>
        <w:tc>
          <w:tcPr>
            <w:tcW w:w="1080" w:type="dxa"/>
            <w:tcMar>
              <w:top w:w="50" w:type="dxa"/>
              <w:left w:w="55" w:type="dxa"/>
              <w:bottom w:w="50" w:type="dxa"/>
              <w:right w:w="55" w:type="dxa"/>
            </w:tcMar>
          </w:tcPr>
          <w:p w14:paraId="714B23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6AAC9A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7AB1DA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qualifying transaction, unlawful practice, ascertainable loss, exemption and timing.</w:t>
            </w:r>
          </w:p>
        </w:tc>
      </w:tr>
    </w:tbl>
    <w:p w14:paraId="4C9F6E35" w14:textId="77777777" w:rsidR="00756B19" w:rsidRPr="00566B6A" w:rsidRDefault="00756B19">
      <w:pPr>
        <w:spacing w:after="20"/>
        <w:rPr>
          <w:rFonts w:ascii="Courier New" w:hAnsi="Courier New" w:cs="Courier New"/>
          <w:sz w:val="22"/>
        </w:rPr>
      </w:pPr>
    </w:p>
    <w:p w14:paraId="1B53C96A"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identity-fraud conduct, deceptive collection communications, security-freeze violations, breach-notification duties, privacy duties, and DTPA transaction deception that is factually distinct from CRA/furnisher reporting obligations.</w:t>
      </w:r>
    </w:p>
    <w:p w14:paraId="78629908"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Rhode Island claims that attempt to impose accuracy, reinvestigation, or furnishing duties parallel to the FCRA.</w:t>
      </w:r>
    </w:p>
    <w:p w14:paraId="7995CA9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0289879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7122FD53"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665D3AB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2 — </w:t>
      </w:r>
      <w:r w:rsidRPr="00566B6A">
        <w:rPr>
          <w:rFonts w:ascii="Courier New" w:hAnsi="Courier New" w:cs="Courier New"/>
          <w:sz w:val="22"/>
        </w:rPr>
        <w:t>Submit written CRA and furnisher disputes with proof of service, using certified mail or verifiable electronic proof.</w:t>
      </w:r>
    </w:p>
    <w:p w14:paraId="21A235B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66F30F3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9B55C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Rhode Island complaint with the Attorney General or Department of Business Regulation as the subject and agency jurisdiction require; retain confirmation numbers.</w:t>
      </w:r>
    </w:p>
    <w:p w14:paraId="0336478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5462BB2B"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AB33225"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779797E5" w14:textId="77777777" w:rsidR="00964317" w:rsidRPr="00566B6A" w:rsidRDefault="00964317">
      <w:pPr>
        <w:ind w:left="72"/>
        <w:rPr>
          <w:rFonts w:ascii="Courier New" w:hAnsi="Courier New" w:cs="Courier New"/>
          <w:sz w:val="22"/>
        </w:rPr>
      </w:pPr>
    </w:p>
    <w:p w14:paraId="0DAB1FF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8F5C5E7"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1610D91B" w14:textId="77777777">
        <w:trPr>
          <w:cantSplit/>
          <w:tblHeader/>
          <w:jc w:val="center"/>
        </w:trPr>
        <w:tc>
          <w:tcPr>
            <w:tcW w:w="6048" w:type="dxa"/>
            <w:shd w:val="clear" w:color="auto" w:fill="D9EAF7"/>
            <w:tcMar>
              <w:top w:w="55" w:type="dxa"/>
              <w:left w:w="55" w:type="dxa"/>
              <w:bottom w:w="55" w:type="dxa"/>
              <w:right w:w="55" w:type="dxa"/>
            </w:tcMar>
            <w:vAlign w:val="center"/>
          </w:tcPr>
          <w:p w14:paraId="07B62F3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733D69C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56A56F64" w14:textId="77777777">
        <w:trPr>
          <w:cantSplit/>
          <w:jc w:val="center"/>
        </w:trPr>
        <w:tc>
          <w:tcPr>
            <w:tcW w:w="6048" w:type="dxa"/>
            <w:tcMar>
              <w:top w:w="50" w:type="dxa"/>
              <w:left w:w="55" w:type="dxa"/>
              <w:bottom w:w="50" w:type="dxa"/>
              <w:right w:w="55" w:type="dxa"/>
            </w:tcMar>
          </w:tcPr>
          <w:p w14:paraId="1F65AF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1B0CD7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4B50FA88" w14:textId="77777777">
        <w:trPr>
          <w:cantSplit/>
          <w:jc w:val="center"/>
        </w:trPr>
        <w:tc>
          <w:tcPr>
            <w:tcW w:w="6048" w:type="dxa"/>
            <w:shd w:val="clear" w:color="auto" w:fill="F7FAFC"/>
            <w:tcMar>
              <w:top w:w="50" w:type="dxa"/>
              <w:left w:w="55" w:type="dxa"/>
              <w:bottom w:w="50" w:type="dxa"/>
              <w:right w:w="55" w:type="dxa"/>
            </w:tcMar>
          </w:tcPr>
          <w:p w14:paraId="23A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133DF7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6A825CBE" w14:textId="77777777">
        <w:trPr>
          <w:cantSplit/>
          <w:jc w:val="center"/>
        </w:trPr>
        <w:tc>
          <w:tcPr>
            <w:tcW w:w="6048" w:type="dxa"/>
            <w:tcMar>
              <w:top w:w="50" w:type="dxa"/>
              <w:left w:w="55" w:type="dxa"/>
              <w:bottom w:w="50" w:type="dxa"/>
              <w:right w:w="55" w:type="dxa"/>
            </w:tcMar>
          </w:tcPr>
          <w:p w14:paraId="7CA80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55D1BE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75B2BC62" w14:textId="77777777">
        <w:trPr>
          <w:cantSplit/>
          <w:jc w:val="center"/>
        </w:trPr>
        <w:tc>
          <w:tcPr>
            <w:tcW w:w="6048" w:type="dxa"/>
            <w:shd w:val="clear" w:color="auto" w:fill="F7FAFC"/>
            <w:tcMar>
              <w:top w:w="50" w:type="dxa"/>
              <w:left w:w="55" w:type="dxa"/>
              <w:bottom w:w="50" w:type="dxa"/>
              <w:right w:w="55" w:type="dxa"/>
            </w:tcMar>
          </w:tcPr>
          <w:p w14:paraId="262CD1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Rhode Island AG / DBR complaint + agency ID</w:t>
            </w:r>
          </w:p>
        </w:tc>
        <w:tc>
          <w:tcPr>
            <w:tcW w:w="8352" w:type="dxa"/>
            <w:shd w:val="clear" w:color="auto" w:fill="F7FAFC"/>
            <w:tcMar>
              <w:top w:w="50" w:type="dxa"/>
              <w:left w:w="55" w:type="dxa"/>
              <w:bottom w:w="50" w:type="dxa"/>
              <w:right w:w="55" w:type="dxa"/>
            </w:tcMar>
          </w:tcPr>
          <w:p w14:paraId="2068F6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42D6615D" w14:textId="77777777">
        <w:trPr>
          <w:cantSplit/>
          <w:jc w:val="center"/>
        </w:trPr>
        <w:tc>
          <w:tcPr>
            <w:tcW w:w="6048" w:type="dxa"/>
            <w:tcMar>
              <w:top w:w="50" w:type="dxa"/>
              <w:left w:w="55" w:type="dxa"/>
              <w:bottom w:w="50" w:type="dxa"/>
              <w:right w:w="55" w:type="dxa"/>
            </w:tcMar>
          </w:tcPr>
          <w:p w14:paraId="64F1FF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2F6D8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5750D4D8" w14:textId="77777777">
        <w:trPr>
          <w:cantSplit/>
          <w:jc w:val="center"/>
        </w:trPr>
        <w:tc>
          <w:tcPr>
            <w:tcW w:w="6048" w:type="dxa"/>
            <w:shd w:val="clear" w:color="auto" w:fill="F7FAFC"/>
            <w:tcMar>
              <w:top w:w="50" w:type="dxa"/>
              <w:left w:w="55" w:type="dxa"/>
              <w:bottom w:w="50" w:type="dxa"/>
              <w:right w:w="55" w:type="dxa"/>
            </w:tcMar>
          </w:tcPr>
          <w:p w14:paraId="35620BD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0D6E30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32AFE295" w14:textId="77777777">
        <w:trPr>
          <w:cantSplit/>
          <w:jc w:val="center"/>
        </w:trPr>
        <w:tc>
          <w:tcPr>
            <w:tcW w:w="6048" w:type="dxa"/>
            <w:tcMar>
              <w:top w:w="50" w:type="dxa"/>
              <w:left w:w="55" w:type="dxa"/>
              <w:bottom w:w="50" w:type="dxa"/>
              <w:right w:w="55" w:type="dxa"/>
            </w:tcMar>
          </w:tcPr>
          <w:p w14:paraId="53024A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transaction/loss record + filing-date review</w:t>
            </w:r>
          </w:p>
        </w:tc>
        <w:tc>
          <w:tcPr>
            <w:tcW w:w="8352" w:type="dxa"/>
            <w:tcMar>
              <w:top w:w="50" w:type="dxa"/>
              <w:left w:w="55" w:type="dxa"/>
              <w:bottom w:w="50" w:type="dxa"/>
              <w:right w:w="55" w:type="dxa"/>
            </w:tcMar>
          </w:tcPr>
          <w:p w14:paraId="1A00FB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Qualifying transaction, unlawful practice, ascertainable loss, exemption and timing</w:t>
            </w:r>
          </w:p>
        </w:tc>
      </w:tr>
    </w:tbl>
    <w:p w14:paraId="209438AF" w14:textId="77777777" w:rsidR="00756B19" w:rsidRPr="00566B6A" w:rsidRDefault="00756B19">
      <w:pPr>
        <w:spacing w:after="20"/>
        <w:rPr>
          <w:rFonts w:ascii="Courier New" w:hAnsi="Courier New" w:cs="Courier New"/>
          <w:sz w:val="22"/>
        </w:rPr>
      </w:pPr>
    </w:p>
    <w:p w14:paraId="714F612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0D4EC4E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21E47A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Permissible-purpose request concerning inquiries and file access</w:t>
      </w:r>
    </w:p>
    <w:p w14:paraId="552F18C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0AD5CE9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4762C0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3272A7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Rhode Island DTPA transaction-and-loss record when a qualifying household purchase or lease and ascertainable loss are documented</w:t>
      </w:r>
    </w:p>
    <w:p w14:paraId="739C6B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52D687F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0B29F74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64011B2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197B099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Rhode Island (RI)</w:t>
      </w:r>
    </w:p>
    <w:p w14:paraId="202B098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2E19FBB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Deceptive Trade Practices Act (DTPA) | R.I. Gen. Laws §§ 6-13.1-1 through 6-13.1-29 | Remedies: actual damages or $500, possible treble damages, equitable relief, fees and costs; Attorney General injunctive and restorative relief. | Authority: Attorney General / courts.</w:t>
      </w:r>
    </w:p>
    <w:p w14:paraId="35DAED6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Fair Debt Collection Practices Act | R.I. Gen. Laws §§ 19-14.9-1 through 19-14.9-14 | Remedies: actual damages, up to $1,000 additional damages, class relief, fees and costs, and registration consequences; one-year private-action period under § 19-14.9-13(5). | Authority: DBR / courts.</w:t>
      </w:r>
    </w:p>
    <w:p w14:paraId="2AD36D2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Consumer Credit Report Security Freeze Law | R.I. Gen. Laws §§ 6-48-1 through 6-48-9 | Remedies: statutory or actual damages, possible punitive damages, negligent-violation damages, and reasonable fees and costs under § 6-48-7. | Authority: courts.</w:t>
      </w:r>
    </w:p>
    <w:p w14:paraId="0C0F42F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Identity Theft Protection Act of 2015 | R.I. Gen. Laws §§ 11-49.3-1 through 11-49.3-7 | Remedies: security and breach-notice duties, civil penalties, and Attorney General enforcement under § 11-49.3-5. | Authority: Attorney General.</w:t>
      </w:r>
    </w:p>
    <w:p w14:paraId="4089CB3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Identity Fraud Law | R.I. Gen. Laws §§ 11-49.1-1 through 11-49.1-5, particularly § 11-49.1-3 | Remedies: criminal enforcement and restitution where ordered. | Authority: law enforcement / courts.</w:t>
      </w:r>
    </w:p>
    <w:p w14:paraId="0146A92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0ED3BCF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Department of Business Regulation rules — consult current debt-collector registration, records, complaint, and enforcement regulations; verify the exact provision before relying on it.</w:t>
      </w:r>
    </w:p>
    <w:p w14:paraId="6C0454D9"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7D37F25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Attorney General — Consumer Protection: complaint intake and DTPA enforcement guidance.</w:t>
      </w:r>
    </w:p>
    <w:p w14:paraId="6659E72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Department of Business Regulation — Division of Banking: debt-collector registration and oversight.</w:t>
      </w:r>
    </w:p>
    <w:p w14:paraId="22067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Rhode Island Department of Business Regulation: consumer complaint pathway for regulated financial entities within its jurisdiction.</w:t>
      </w:r>
    </w:p>
    <w:p w14:paraId="6D7F2A2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4280B31F"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Rhode Island without municipal verification.</w:t>
      </w:r>
    </w:p>
    <w:p w14:paraId="5E647278" w14:textId="77777777" w:rsidR="00964317" w:rsidRPr="00566B6A" w:rsidRDefault="00964317">
      <w:pPr>
        <w:spacing w:after="60"/>
        <w:rPr>
          <w:rFonts w:ascii="Courier New" w:hAnsi="Courier New" w:cs="Courier New"/>
          <w:sz w:val="22"/>
        </w:rPr>
      </w:pPr>
    </w:p>
    <w:p w14:paraId="4E88470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725FDBE4" w14:textId="77777777">
        <w:trPr>
          <w:cantSplit/>
          <w:tblHeader/>
          <w:jc w:val="center"/>
        </w:trPr>
        <w:tc>
          <w:tcPr>
            <w:tcW w:w="2232" w:type="dxa"/>
            <w:shd w:val="clear" w:color="auto" w:fill="D9EAF7"/>
            <w:tcMar>
              <w:top w:w="55" w:type="dxa"/>
              <w:left w:w="55" w:type="dxa"/>
              <w:bottom w:w="55" w:type="dxa"/>
              <w:right w:w="55" w:type="dxa"/>
            </w:tcMar>
            <w:vAlign w:val="center"/>
          </w:tcPr>
          <w:p w14:paraId="5D18A9E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163C14F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9FDD54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9EAB99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CDE98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028639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3EDEDD2F" w14:textId="77777777">
        <w:trPr>
          <w:cantSplit/>
          <w:jc w:val="center"/>
        </w:trPr>
        <w:tc>
          <w:tcPr>
            <w:tcW w:w="2232" w:type="dxa"/>
            <w:tcMar>
              <w:top w:w="50" w:type="dxa"/>
              <w:left w:w="55" w:type="dxa"/>
              <w:bottom w:w="50" w:type="dxa"/>
              <w:right w:w="55" w:type="dxa"/>
            </w:tcMar>
          </w:tcPr>
          <w:p w14:paraId="6283BA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Park v. Ford Motor Co.</w:t>
            </w:r>
          </w:p>
        </w:tc>
        <w:tc>
          <w:tcPr>
            <w:tcW w:w="1152" w:type="dxa"/>
            <w:tcMar>
              <w:top w:w="50" w:type="dxa"/>
              <w:left w:w="55" w:type="dxa"/>
              <w:bottom w:w="50" w:type="dxa"/>
              <w:right w:w="55" w:type="dxa"/>
            </w:tcMar>
          </w:tcPr>
          <w:p w14:paraId="7298CC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tcMar>
              <w:top w:w="50" w:type="dxa"/>
              <w:left w:w="55" w:type="dxa"/>
              <w:bottom w:w="50" w:type="dxa"/>
              <w:right w:w="55" w:type="dxa"/>
            </w:tcMar>
          </w:tcPr>
          <w:p w14:paraId="6AF3C2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247BB5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687</w:t>
            </w:r>
          </w:p>
        </w:tc>
        <w:tc>
          <w:tcPr>
            <w:tcW w:w="4536" w:type="dxa"/>
            <w:tcMar>
              <w:top w:w="50" w:type="dxa"/>
              <w:left w:w="55" w:type="dxa"/>
              <w:bottom w:w="50" w:type="dxa"/>
              <w:right w:w="55" w:type="dxa"/>
            </w:tcMar>
          </w:tcPr>
          <w:p w14:paraId="38EEC9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alleging an ascertainable loss from an unlawful trade practice may proceed under the DTPA; reversed dismissal concerning equipment listed on a vehicle sticker.</w:t>
            </w:r>
          </w:p>
        </w:tc>
        <w:tc>
          <w:tcPr>
            <w:tcW w:w="3643" w:type="dxa"/>
            <w:tcMar>
              <w:top w:w="50" w:type="dxa"/>
              <w:left w:w="55" w:type="dxa"/>
              <w:bottom w:w="50" w:type="dxa"/>
              <w:right w:w="55" w:type="dxa"/>
            </w:tcMar>
          </w:tcPr>
          <w:p w14:paraId="3BAEE0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sticker, contract, product specifications, communications, and proof of measurable loss.</w:t>
            </w:r>
          </w:p>
        </w:tc>
      </w:tr>
      <w:tr w:rsidR="00756B19" w:rsidRPr="00566B6A" w14:paraId="493F4C28" w14:textId="77777777">
        <w:trPr>
          <w:cantSplit/>
          <w:jc w:val="center"/>
        </w:trPr>
        <w:tc>
          <w:tcPr>
            <w:tcW w:w="2232" w:type="dxa"/>
            <w:shd w:val="clear" w:color="auto" w:fill="F7FAFC"/>
            <w:tcMar>
              <w:top w:w="50" w:type="dxa"/>
              <w:left w:w="55" w:type="dxa"/>
              <w:bottom w:w="50" w:type="dxa"/>
              <w:right w:w="55" w:type="dxa"/>
            </w:tcMar>
          </w:tcPr>
          <w:p w14:paraId="06D822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Chavers v. Fleet Bank (RI), N.A.</w:t>
            </w:r>
          </w:p>
        </w:tc>
        <w:tc>
          <w:tcPr>
            <w:tcW w:w="1152" w:type="dxa"/>
            <w:shd w:val="clear" w:color="auto" w:fill="F7FAFC"/>
            <w:tcMar>
              <w:top w:w="50" w:type="dxa"/>
              <w:left w:w="55" w:type="dxa"/>
              <w:bottom w:w="50" w:type="dxa"/>
              <w:right w:w="55" w:type="dxa"/>
            </w:tcMar>
          </w:tcPr>
          <w:p w14:paraId="2CA8AFB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R.I. Sup. Ct.</w:t>
            </w:r>
          </w:p>
        </w:tc>
        <w:tc>
          <w:tcPr>
            <w:tcW w:w="748" w:type="dxa"/>
            <w:shd w:val="clear" w:color="auto" w:fill="F7FAFC"/>
            <w:tcMar>
              <w:top w:w="50" w:type="dxa"/>
              <w:left w:w="55" w:type="dxa"/>
              <w:bottom w:w="50" w:type="dxa"/>
              <w:right w:w="55" w:type="dxa"/>
            </w:tcMar>
          </w:tcPr>
          <w:p w14:paraId="5E6A3E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shd w:val="clear" w:color="auto" w:fill="F7FAFC"/>
            <w:tcMar>
              <w:top w:w="50" w:type="dxa"/>
              <w:left w:w="55" w:type="dxa"/>
              <w:bottom w:w="50" w:type="dxa"/>
              <w:right w:w="55" w:type="dxa"/>
            </w:tcMar>
          </w:tcPr>
          <w:p w14:paraId="2CEE61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844 A.2d 666</w:t>
            </w:r>
          </w:p>
        </w:tc>
        <w:tc>
          <w:tcPr>
            <w:tcW w:w="4536" w:type="dxa"/>
            <w:shd w:val="clear" w:color="auto" w:fill="F7FAFC"/>
            <w:tcMar>
              <w:top w:w="50" w:type="dxa"/>
              <w:left w:w="55" w:type="dxa"/>
              <w:bottom w:w="50" w:type="dxa"/>
              <w:right w:w="55" w:type="dxa"/>
            </w:tcMar>
          </w:tcPr>
          <w:p w14:paraId="50288A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DTPA exemption because the challenged credit-card solicitations were subject to enforcement authority of the Office of the Comptroller of the Currency.</w:t>
            </w:r>
          </w:p>
        </w:tc>
        <w:tc>
          <w:tcPr>
            <w:tcW w:w="3643" w:type="dxa"/>
            <w:shd w:val="clear" w:color="auto" w:fill="F7FAFC"/>
            <w:tcMar>
              <w:top w:w="50" w:type="dxa"/>
              <w:left w:w="55" w:type="dxa"/>
              <w:bottom w:w="50" w:type="dxa"/>
              <w:right w:w="55" w:type="dxa"/>
            </w:tcMar>
          </w:tcPr>
          <w:p w14:paraId="3E57CC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regulator and statutory authority governing the precise conduct; preserve solicitations, terms, notices, and exemption facts.</w:t>
            </w:r>
          </w:p>
        </w:tc>
      </w:tr>
      <w:tr w:rsidR="00756B19" w:rsidRPr="00566B6A" w14:paraId="3EA115D5" w14:textId="77777777">
        <w:trPr>
          <w:cantSplit/>
          <w:jc w:val="center"/>
        </w:trPr>
        <w:tc>
          <w:tcPr>
            <w:tcW w:w="2232" w:type="dxa"/>
            <w:tcMar>
              <w:top w:w="50" w:type="dxa"/>
              <w:left w:w="55" w:type="dxa"/>
              <w:bottom w:w="50" w:type="dxa"/>
              <w:right w:w="55" w:type="dxa"/>
            </w:tcMar>
          </w:tcPr>
          <w:p w14:paraId="1C5974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Fiorenzano v. LVNV Funding, LLC</w:t>
            </w:r>
          </w:p>
        </w:tc>
        <w:tc>
          <w:tcPr>
            <w:tcW w:w="1152" w:type="dxa"/>
            <w:tcMar>
              <w:top w:w="50" w:type="dxa"/>
              <w:left w:w="55" w:type="dxa"/>
              <w:bottom w:w="50" w:type="dxa"/>
              <w:right w:w="55" w:type="dxa"/>
            </w:tcMar>
          </w:tcPr>
          <w:p w14:paraId="2ED7F1E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D.R.I.</w:t>
            </w:r>
          </w:p>
        </w:tc>
        <w:tc>
          <w:tcPr>
            <w:tcW w:w="748" w:type="dxa"/>
            <w:tcMar>
              <w:top w:w="50" w:type="dxa"/>
              <w:left w:w="55" w:type="dxa"/>
              <w:bottom w:w="50" w:type="dxa"/>
              <w:right w:w="55" w:type="dxa"/>
            </w:tcMar>
          </w:tcPr>
          <w:p w14:paraId="2D68E2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2BBC59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WL 2562415</w:t>
            </w:r>
          </w:p>
        </w:tc>
        <w:tc>
          <w:tcPr>
            <w:tcW w:w="4536" w:type="dxa"/>
            <w:tcMar>
              <w:top w:w="50" w:type="dxa"/>
              <w:left w:w="55" w:type="dxa"/>
              <w:bottom w:w="50" w:type="dxa"/>
              <w:right w:w="55" w:type="dxa"/>
            </w:tcMar>
          </w:tcPr>
          <w:p w14:paraId="73D037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Denied dismissal where allegations that a debt buyer required Rhode Island registration plausibly supported FDCPA false, deceptive, or unfair-practice claims.</w:t>
            </w:r>
          </w:p>
        </w:tc>
        <w:tc>
          <w:tcPr>
            <w:tcW w:w="3643" w:type="dxa"/>
            <w:tcMar>
              <w:top w:w="50" w:type="dxa"/>
              <w:left w:w="55" w:type="dxa"/>
              <w:bottom w:w="50" w:type="dxa"/>
              <w:right w:w="55" w:type="dxa"/>
            </w:tcMar>
          </w:tcPr>
          <w:p w14:paraId="1600FA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searches, acquisition records, collection letters, amounts demanded, and the communication chronology.</w:t>
            </w:r>
          </w:p>
        </w:tc>
      </w:tr>
    </w:tbl>
    <w:p w14:paraId="44CF640C" w14:textId="77777777" w:rsidR="00756B19" w:rsidRPr="00566B6A" w:rsidRDefault="00756B19">
      <w:pPr>
        <w:spacing w:after="20"/>
        <w:rPr>
          <w:rFonts w:ascii="Courier New" w:hAnsi="Courier New" w:cs="Courier New"/>
          <w:sz w:val="22"/>
        </w:rPr>
      </w:pPr>
    </w:p>
    <w:p w14:paraId="633DE7C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58F1280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TK-Authority-2026-07-RI</w:t>
      </w:r>
    </w:p>
    <w:p w14:paraId="3698E4D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228EE4B8"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RI + WA</w:t>
      </w:r>
    </w:p>
    <w:p w14:paraId="5EE9228F"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before inclusion. Rhode Island statutes were checked against current General Laws publications; cases against Rhode Island judicial and federal court materials; federal FCRA authorities against current U.S. Code and Regulation V materials as of July 24, 2026.</w:t>
      </w:r>
    </w:p>
    <w:p w14:paraId="30DFBF3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12B8413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41AB458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6296543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C2A4A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3D7DCB3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1DEAF1AD"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Rhode Island consumer-protection authorities. Statutes, regulations, agency guidance, and judicial decisions may change over time. This section is educational and informational only and does not constitute legal advice or legal representation.</w:t>
      </w:r>
    </w:p>
    <w:p w14:paraId="59463FC1"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7708BB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24FB2B2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Rhode Island administrative regulation citation by agency, title, part, and section.</w:t>
      </w:r>
    </w:p>
    <w:p w14:paraId="52B3082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Policies / Guidance: agency name, document or webpage title, publication or access date when available, and official source.</w:t>
      </w:r>
    </w:p>
    <w:p w14:paraId="394D891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6E9193B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61DCDB8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70DF84AA"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49F162CC" w14:textId="77777777" w:rsidR="00BD7EED" w:rsidRDefault="00BD7EED">
      <w:pPr>
        <w:keepLines/>
        <w:spacing w:before="40" w:after="0"/>
        <w:rPr>
          <w:rFonts w:ascii="Courier New" w:hAnsi="Courier New" w:cs="Courier New"/>
          <w:i/>
          <w:color w:val="464646"/>
          <w:sz w:val="22"/>
        </w:rPr>
      </w:pPr>
    </w:p>
    <w:p w14:paraId="4C67FB75" w14:textId="77777777" w:rsidR="00BD7EED" w:rsidRDefault="00BD7EED">
      <w:pPr>
        <w:keepLines/>
        <w:spacing w:before="40" w:after="0"/>
        <w:rPr>
          <w:rFonts w:ascii="Courier New" w:hAnsi="Courier New" w:cs="Courier New"/>
          <w:i/>
          <w:color w:val="464646"/>
          <w:sz w:val="22"/>
        </w:rPr>
      </w:pPr>
    </w:p>
    <w:p w14:paraId="4C269F0E" w14:textId="77777777" w:rsidR="00BD7EED" w:rsidRDefault="00BD7EED">
      <w:pPr>
        <w:keepLines/>
        <w:spacing w:before="40" w:after="0"/>
        <w:rPr>
          <w:rFonts w:ascii="Courier New" w:hAnsi="Courier New" w:cs="Courier New"/>
          <w:i/>
          <w:color w:val="464646"/>
          <w:sz w:val="22"/>
        </w:rPr>
      </w:pPr>
    </w:p>
    <w:p w14:paraId="00B0B6FA" w14:textId="77777777" w:rsidR="00BD7EED" w:rsidRDefault="00BD7EED">
      <w:pPr>
        <w:keepLines/>
        <w:spacing w:before="40" w:after="0"/>
        <w:rPr>
          <w:rFonts w:ascii="Courier New" w:hAnsi="Courier New" w:cs="Courier New"/>
          <w:i/>
          <w:color w:val="464646"/>
          <w:sz w:val="22"/>
        </w:rPr>
      </w:pPr>
    </w:p>
    <w:p w14:paraId="166854F6" w14:textId="77777777" w:rsidR="00BD7EED" w:rsidRDefault="00BD7EED">
      <w:pPr>
        <w:keepLines/>
        <w:spacing w:before="40" w:after="0"/>
        <w:rPr>
          <w:rFonts w:ascii="Courier New" w:hAnsi="Courier New" w:cs="Courier New"/>
          <w:i/>
          <w:color w:val="464646"/>
          <w:sz w:val="22"/>
        </w:rPr>
      </w:pPr>
    </w:p>
    <w:p w14:paraId="3B90276D" w14:textId="77777777" w:rsidR="00BD7EED" w:rsidRDefault="00BD7EED">
      <w:pPr>
        <w:keepLines/>
        <w:spacing w:before="40" w:after="0"/>
        <w:rPr>
          <w:rFonts w:ascii="Courier New" w:hAnsi="Courier New" w:cs="Courier New"/>
          <w:i/>
          <w:color w:val="464646"/>
          <w:sz w:val="22"/>
        </w:rPr>
      </w:pPr>
    </w:p>
    <w:p w14:paraId="24455F92" w14:textId="77777777" w:rsidR="00BD7EED" w:rsidRDefault="00BD7EED">
      <w:pPr>
        <w:keepLines/>
        <w:spacing w:before="40" w:after="0"/>
        <w:rPr>
          <w:rFonts w:ascii="Courier New" w:hAnsi="Courier New" w:cs="Courier New"/>
          <w:i/>
          <w:color w:val="464646"/>
          <w:sz w:val="22"/>
        </w:rPr>
      </w:pPr>
    </w:p>
    <w:p w14:paraId="14703377" w14:textId="77777777" w:rsidR="00BD7EED" w:rsidRDefault="00BD7EED">
      <w:pPr>
        <w:keepLines/>
        <w:spacing w:before="40" w:after="0"/>
        <w:rPr>
          <w:rFonts w:ascii="Courier New" w:hAnsi="Courier New" w:cs="Courier New"/>
          <w:i/>
          <w:color w:val="464646"/>
          <w:sz w:val="22"/>
        </w:rPr>
      </w:pPr>
    </w:p>
    <w:p w14:paraId="2F732463" w14:textId="77777777" w:rsidR="00BD7EED" w:rsidRDefault="00BD7EED">
      <w:pPr>
        <w:keepLines/>
        <w:spacing w:before="40" w:after="0"/>
        <w:rPr>
          <w:rFonts w:ascii="Courier New" w:hAnsi="Courier New" w:cs="Courier New"/>
          <w:i/>
          <w:color w:val="464646"/>
          <w:sz w:val="22"/>
        </w:rPr>
      </w:pPr>
    </w:p>
    <w:p w14:paraId="6F47C0BB" w14:textId="77777777" w:rsidR="00BD7EED" w:rsidRDefault="00BD7EED">
      <w:pPr>
        <w:keepLines/>
        <w:spacing w:before="40" w:after="0"/>
        <w:rPr>
          <w:rFonts w:ascii="Courier New" w:hAnsi="Courier New" w:cs="Courier New"/>
          <w:i/>
          <w:color w:val="464646"/>
          <w:sz w:val="22"/>
        </w:rPr>
      </w:pPr>
    </w:p>
    <w:p w14:paraId="2EB9ACD0" w14:textId="77777777" w:rsidR="00BD7EED" w:rsidRDefault="00BD7EED">
      <w:pPr>
        <w:keepLines/>
        <w:spacing w:before="40" w:after="0"/>
        <w:rPr>
          <w:rFonts w:ascii="Courier New" w:hAnsi="Courier New" w:cs="Courier New"/>
          <w:i/>
          <w:color w:val="464646"/>
          <w:sz w:val="22"/>
        </w:rPr>
      </w:pPr>
    </w:p>
    <w:p w14:paraId="24276A2D" w14:textId="77777777" w:rsidR="00BD7EED" w:rsidRDefault="00BD7EED">
      <w:pPr>
        <w:keepLines/>
        <w:spacing w:before="40" w:after="0"/>
        <w:rPr>
          <w:rFonts w:ascii="Courier New" w:hAnsi="Courier New" w:cs="Courier New"/>
          <w:i/>
          <w:color w:val="464646"/>
          <w:sz w:val="22"/>
        </w:rPr>
      </w:pPr>
    </w:p>
    <w:p w14:paraId="1721062F" w14:textId="77777777" w:rsidR="00BD7EED" w:rsidRDefault="00BD7EED">
      <w:pPr>
        <w:keepLines/>
        <w:spacing w:before="40" w:after="0"/>
        <w:rPr>
          <w:rFonts w:ascii="Courier New" w:hAnsi="Courier New" w:cs="Courier New"/>
          <w:i/>
          <w:color w:val="464646"/>
          <w:sz w:val="22"/>
        </w:rPr>
      </w:pPr>
    </w:p>
    <w:p w14:paraId="68F6F7A3" w14:textId="77777777" w:rsidR="00BD7EED" w:rsidRPr="00566B6A" w:rsidRDefault="00BD7EED">
      <w:pPr>
        <w:keepLines/>
        <w:spacing w:before="40" w:after="0"/>
        <w:rPr>
          <w:rFonts w:ascii="Courier New" w:hAnsi="Courier New" w:cs="Courier New"/>
          <w:sz w:val="22"/>
        </w:rPr>
      </w:pPr>
    </w:p>
    <w:p w14:paraId="65871BC1" w14:textId="77777777" w:rsidR="003D3736" w:rsidRDefault="009A239A">
      <w:r>
        <w:br w:type="page"/>
      </w:r>
      <w:r>
        <w:lastRenderedPageBreak/>
        <w:t> </w:t>
      </w:r>
    </w:p>
    <w:sectPr w:rsidR="003D3736"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3B6FC" w14:textId="77777777" w:rsidR="009A239A" w:rsidRDefault="009A239A">
      <w:pPr>
        <w:spacing w:after="0" w:line="240" w:lineRule="auto"/>
      </w:pPr>
      <w:r>
        <w:separator/>
      </w:r>
    </w:p>
  </w:endnote>
  <w:endnote w:type="continuationSeparator" w:id="0">
    <w:p w14:paraId="6C4E501D" w14:textId="77777777" w:rsidR="009A239A" w:rsidRDefault="009A2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5336"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4CB8" w14:textId="77777777" w:rsidR="009A239A" w:rsidRDefault="009A239A">
      <w:pPr>
        <w:spacing w:after="0" w:line="240" w:lineRule="auto"/>
      </w:pPr>
      <w:r>
        <w:separator/>
      </w:r>
    </w:p>
  </w:footnote>
  <w:footnote w:type="continuationSeparator" w:id="0">
    <w:p w14:paraId="7BE590E6" w14:textId="77777777" w:rsidR="009A239A" w:rsidRDefault="009A2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ADAF" w14:textId="77777777" w:rsidR="00756B19" w:rsidRDefault="00F247EE">
    <w:pPr>
      <w:pStyle w:val="Header"/>
      <w:jc w:val="right"/>
    </w:pPr>
    <w:r>
      <w:rPr>
        <w:b/>
        <w:color w:val="505050"/>
        <w:sz w:val="15"/>
      </w:rPr>
      <w:t>GLADIC AI™ — SECTION 3A | RHODE ISLAND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D3736"/>
    <w:rsid w:val="00463F22"/>
    <w:rsid w:val="00521B17"/>
    <w:rsid w:val="00566B6A"/>
    <w:rsid w:val="00655F05"/>
    <w:rsid w:val="006F27AD"/>
    <w:rsid w:val="00736F61"/>
    <w:rsid w:val="00756B19"/>
    <w:rsid w:val="00964317"/>
    <w:rsid w:val="009A239A"/>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4362E"/>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2026-07-24T18:34:00Z</dcterms:created>
  <dcterms:modified xsi:type="dcterms:W3CDTF">2026-07-24T18:34:00Z</dcterms:modified>
  <cp:category/>
</cp:coreProperties>
</file>