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South Carolina (SC)</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South Carolina Unfair Trade Practices Act (SCUTPA)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S.C. Code Ann. §§ 39-5-10 through 39-5-160</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or practices in trade or commerce. Courts consider federal FTC Act interpretations; a private claim must affect the public interest.</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claimant may recover actual damages for an ascertainable loss. Willful or knowing violations require treble damages, fees, and costs. The Attorney General may seek injunctions, restoration, and penalties.</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Section 39-5-140 permits an action for an ascertainable loss caused by an unfair or deceptive act. Section 39-5-150 generally requires filing within three years after discovery.</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South Carolina Attorney General - Consumer Protection and Antitrust Division; injunction and restoration authority under S.C. Code Ann. § 39-5-50.</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activity present - review South Carolina creditor-remedy and debt-collection standards with the federal FDCPA.</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S.C. Code Ann. § 37-5-108 prohibits unconscionable collection conduct, including harassment, threats, false representations, improper contacts, and nondisclosure of a known dispute.</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S.C. Code Ann. §§ 37-5-101 through 37-5-112;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South Carolina Department of Consumer Affairs; Board of Financial Institutions where applicable; CFPB and FTC.</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Chapter 37-20 provides identity-theft, security-freeze, protected-consumer, record-disposal, and related remedies. Federal FCRA procedures remain the primary accuracy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South Carolina consumers may place, lift, or remove a security freeze under S.C. Code Ann. §§ 37-20-110 through 37-20-200.</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Federal FCRA file disclosures apply; Chapter 37-20 adds security-freeze, identity-theft investigation, and factual-innocence procedures.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identifiers may be disputed with the CRA under 15 U.S.C. § 1681i. Evaluate separate South Carolina claims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Principally federal; South Carolina adds freezes, factual-innocence procedures, and SLED identity-theft victim records.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Section 37-20-200 provides actual or statutory damages, fees, costs, and injunctive relief for qualifying violations, subject to its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w:t>
      </w:r>
      <w:r w:rsidRPr="00566B6A">
        <w:rPr>
          <w:rFonts w:ascii="Courier New" w:hAnsi="Courier New" w:cs="Courier New"/>
          <w:bCs/>
          <w:sz w:val="22"/>
        </w:rPr>
        <w:lastRenderedPageBreak/>
        <w:t>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S.C. Code Ann. §§ 16-13-510 through 16-13-530 prohibit financial identity fraud and authorize criminal penalties and restitution.</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Factual declaration of innocence: A victim may seek an expedited determination under S.C. Code Ann. § 37-20-140, subject to statutory procedures.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S.C. Code Ann. § 39-1-90 requires qualifying businesses to notify affected South Carolina residents of covered security breaches, subject to statutory timing and exceptions.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Identity-theft and freeze provisions are S.C. Code Ann. §§ 37-20-110 through 37-20-200; business breach notice is § 39-1-90.</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state privacy act was identified for this module; sector-specific South Carolina and federal rules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Carolina Attorney General: Consumer Protection and Antitrust Division - SCUTPA public enforcement. Individual complaints generally go to the Department of Consumer Affairs.</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Carolina Department of Consumer Affairs: Complaint intake, mediation, Consumer Protection Code enforcement, and § 37-5-108 pre-suit intake.</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Carolina Board of Financial Institutions: Oversight and complaint pathway for regulated lenders and financial institutions,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controlling for credit-reporting disputes; none are identified as directly applicable in South Carolina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39-5-10–160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SCUTPA - unfair or deceptive trade practices affecting the public interest</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treble damages for willful/knowing violations; fees and costs; AG injunction/restoration</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Representation or practice; trade/commerce; public-interest proof; ascertainable loss; causation;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37-5-101–112</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Consumer-credit remedies; unconscionable collection conduct; cure, repossession, and creditor limitations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actual damages; $100-$1,000 nonclass penalty; attorney’s fees under § 37-5-108</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letters/calls; dispute status; amount/legal-status proof; DCA filing; thirty-day review</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37-20-110–200</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investigation, factual innocence, security freezes, record disposal, and CRA obligations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or statutory damages, fees, costs, daily relief, and injunction under § 37-20-200</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history; identity-theft report; court order; SLED record;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39-1-90</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Business security-breach notice and remediation duties</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Civil damages; injunction; attorney’s fees and costs; administrative penalties where authorized</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risk analysis; delivery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16-13-510–530</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Financial identity fraud and identity fraud; venue and statutory exceptions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 related restoration procedures arise under Chapter 37</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criminal-case or restitution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Attorney General - Consumer Protection and Antitrust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SCUTPA statewide litigation and public-interest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injunction, restoration, civil penalties, or multistate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chronology; exhibits; public-impact evidence; agency correspondence</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South Carolina Department of Consumer Affairs / Board of Financial Institutions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complaints, debt-collection intake, Consumer Protection Code, and regulated lenders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Mediation, investigation, administrative review, and regulatory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DCA complaint ID; thirty-day filing record; lender status; agency response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South Carolina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Direct-furnisher dispute exception for identifying information, </w:t>
            </w:r>
            <w:r w:rsidRPr="00566B6A">
              <w:rPr>
                <w:rFonts w:ascii="Courier New" w:hAnsi="Courier New" w:cs="Courier New"/>
                <w:sz w:val="22"/>
              </w:rPr>
              <w:lastRenderedPageBreak/>
              <w:t>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Routes the primary identifying-information dispute to the consumer reporting agency; CRA-</w:t>
            </w:r>
            <w:r w:rsidRPr="00566B6A">
              <w:rPr>
                <w:rFonts w:ascii="Courier New" w:hAnsi="Courier New" w:cs="Courier New"/>
                <w:sz w:val="22"/>
              </w:rPr>
              <w:lastRenderedPageBreak/>
              <w:t>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Avoid misrouting; preserve bureau submission, supporting documents, </w:t>
            </w:r>
            <w:r w:rsidRPr="00566B6A">
              <w:rPr>
                <w:rFonts w:ascii="Courier New" w:hAnsi="Courier New" w:cs="Courier New"/>
                <w:sz w:val="22"/>
              </w:rPr>
              <w:lastRenderedPageBreak/>
              <w:t>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South Carolina (SC)</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In re Zenner is a disciplinary decision discussing collection conduct, not a private damages ruling.</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Singleton v. Stokes Motors,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358 S.C. 369, 595 S.E.2d 461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SCUTPA and UCC remedies were not factually inconsistent. A private SCUTPA claimant must show an ascertainable loss and conduct affecting the public interest; potential repetition can establish public impact.</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standardized forms, repeatable procedures, prior similar incidents, transaction records, and proof that the challenged practice caused a measurable monetary or property loss.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Wright v. Craft</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372 S.C. 1, 640 S.E.2d 486</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the SCUTPA elements: an unfair or deceptive act in trade or commerce, public-interest impact, and monetary or property loss. A practice is deceptive when it has a tendency and capacity to deceive.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representation or practice, show its capacity or procedure for repetition, and preserve valuation, repair, consequential-loss, and causation evidence.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 re Zenner</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348 S.C. 499, 560 S.E.2d 406</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Publicly reprimanded an attorney whose collection operation used threats of criminal prosecution, abusive language, false legal implications, and threatened unlawful garnishment. The opinion identifies § 37-5-108 and federal law as governing collection conduct.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recordings, letters, call logs, threats, false attorney claims, employer or third-party contacts, dispute notices, represented status, and the legal basis and calculation of the demanded amount.</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Singleton v. Stokes Motors,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358 S.C. 369, 595 S.E.2d 461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SCUTPA and UCC remedies were not factually inconsistent. A private SCUTPA claimant must show an ascertainable loss and conduct affecting the public interest; potential repetition can establish public impact.</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standardized forms, repeatable procedures, prior similar incidents, transaction records, and proof that the challenged practice caused a measurable monetary or property loss.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Wright v. Craft</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372 S.C. 1, 640 S.E.2d 486</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the SCUTPA elements: an unfair or deceptive act in trade or commerce, public-interest impact, and monetary or property loss. A practice is deceptive when it has a tendency and capacity to deceive.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representation or practice, show its capacity or procedure for repetition, and preserve valuation, repair, consequential-loss, and causation evidence.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In re Zenner</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348 S.C. 499, 560 S.E.2d 406</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Publicly reprimanded an attorney whose collection operation used threats of criminal prosecution, abusive language, false legal implications, and threatened unlawful garnishment. The opinion identifies § 37-5-108 and federal law as governing collection conduct.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recordings, letters, call logs, threats, false attorney claims, employer or third-party contacts, dispute notices, represented status, and the legal basis and calculation of the demanded amount.</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 processing, and reporting. Overlapping South Carolina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South Carolina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37-20 covers identity theft/freezes; federal FCRA supplies general accuracy duties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disputes and verification records; avoid parallel state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state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16-13-510–530; §§ 37-20-130–150</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innocence orders, SLED records,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37-5-108;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File with DCA and preserve communications, disputes, amount proof, and the review record.</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37-20-110–200</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notices, requests,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Code Ann. § 39-1-90</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data elements, dates, findings, remediation, and regulator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SCUTPA, S.C. Code Ann. §§ 39-5-10–160</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distinct conduct, public impact, ascertainable loss, causation, knowledge, and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distinct deceptive collection communications, security-freeze violations, breach-notification duties, and SCUTPA conduct separate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South Carolina claims imposing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5 — </w:t>
      </w:r>
      <w:r w:rsidRPr="00566B6A">
        <w:rPr>
          <w:rFonts w:ascii="Courier New" w:hAnsi="Courier New" w:cs="Courier New"/>
          <w:sz w:val="22"/>
        </w:rPr>
        <w:t>File a South Carolina complaint with DCA, the Attorney General, or the Board of Financial Institutions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South Carolina DCA / AG / BFI complaint +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SCUTPA / § 37-5-108 evidence + filing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 impact, loss, causation, knowledge, DCA filing,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South Carolina SCUTPA claim record: unfair/deceptive act, public interest, ascertainable loss, causation, knowledge, and three-year timing</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South Carolina (SC)</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Unfair Trade Practices Act (SCUTPA) | </w:t>
      </w:r>
      <w:r w:rsidRPr="00566B6A">
        <w:rPr>
          <w:rFonts w:ascii="Courier New" w:hAnsi="Courier New" w:cs="Courier New"/>
          <w:sz w:val="22"/>
        </w:rPr>
        <w:t>S.C. Code Ann. §§ 39-5-10 through 39-5-160 | Remedies: actual damages; treble damages for willful or knowing violations; fees and costs; AG injunction and restoration. | Authority: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Consumer Protection Code | </w:t>
      </w:r>
      <w:r w:rsidRPr="00566B6A">
        <w:rPr>
          <w:rFonts w:ascii="Courier New" w:hAnsi="Courier New" w:cs="Courier New"/>
          <w:sz w:val="22"/>
        </w:rPr>
        <w:t>S.C. Code Ann. §§ 37-5-101 through 37-5-112 | Remedies: injunction, actual damages, statutory penalty, and fees for qualifying § 37-5-108 claims; federal FDCPA remedies may apply. | Authority: DCA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Security Freeze Law | </w:t>
      </w:r>
      <w:r w:rsidRPr="00566B6A">
        <w:rPr>
          <w:rFonts w:ascii="Courier New" w:hAnsi="Courier New" w:cs="Courier New"/>
          <w:sz w:val="22"/>
        </w:rPr>
        <w:t>S.C. Code Ann. §§ 37-20-110 through 37-20-200 | Remedies: actual or statutory damages, fees, costs, and injunction under § 37-20-200. | Authority: courts / DCA.</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Data Breach Law | </w:t>
      </w:r>
      <w:r w:rsidRPr="00566B6A">
        <w:rPr>
          <w:rFonts w:ascii="Courier New" w:hAnsi="Courier New" w:cs="Courier New"/>
          <w:sz w:val="22"/>
        </w:rPr>
        <w:t>S.C. Code Ann. § 39-1-90 | Remedies: damages, injunction, fees, costs, and administrative penalties where authorized. | Authority: DCA / courts.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Identity-Theft Provisions | </w:t>
      </w:r>
      <w:r w:rsidRPr="00566B6A">
        <w:rPr>
          <w:rFonts w:ascii="Courier New" w:hAnsi="Courier New" w:cs="Courier New"/>
          <w:sz w:val="22"/>
        </w:rPr>
        <w:t>S.C. Code Ann. §§ 16-13-510 through 16-13-530; §§ 37-20-130 through 37-20-150 | Remedies: criminal penalties, restitution, investigation, factual innocence, and SLED victim records.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Department of Consumer Affairs Regulations, S.C. Code Regs. ch. 28 - </w:t>
      </w:r>
      <w:r w:rsidRPr="00566B6A">
        <w:rPr>
          <w:rFonts w:ascii="Courier New" w:hAnsi="Courier New" w:cs="Courier New"/>
          <w:sz w:val="22"/>
        </w:rPr>
        <w:t>consult current rules and verify the exact provision before filing or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Attorney General - Consumer Protection and Antitrust Division: </w:t>
      </w:r>
      <w:r w:rsidRPr="00566B6A">
        <w:rPr>
          <w:rFonts w:ascii="Courier New" w:hAnsi="Courier New" w:cs="Courier New"/>
          <w:sz w:val="22"/>
        </w:rPr>
        <w:t>SCUTPA public-enforcement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South Carolina Department of Consumer Affairs: </w:t>
      </w:r>
      <w:r w:rsidRPr="00566B6A">
        <w:rPr>
          <w:rFonts w:ascii="Courier New" w:hAnsi="Courier New" w:cs="Courier New"/>
          <w:sz w:val="22"/>
        </w:rPr>
        <w:t>complaint, mediation, identity-theft, and consumer-credit guidance.</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South Carolina Board of Financial Institutions: </w:t>
      </w:r>
      <w:r w:rsidRPr="00566B6A">
        <w:rPr>
          <w:rFonts w:ascii="Courier New" w:hAnsi="Courier New" w:cs="Courier New"/>
          <w:sz w:val="22"/>
        </w:rPr>
        <w:t>regulatory pathway for institutions within its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controlling for credit-reporting disputes; none are identified as directly applicable in South Carolina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Singleton v. Stokes Motors,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358 S.C. 369, 595 S.E.2d 461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SCUTPA and UCC remedies were not factually inconsistent. A private SCUTPA claimant must show an ascertainable loss and conduct affecting the public interest; potential repetition can establish public impact.</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standardized forms, repeatable procedures, prior similar incidents, transaction records, and proof that the challenged practice caused a measurable monetary or property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Wright v. Craft</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372 S.C. 1, 640 S.E.2d 486</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the SCUTPA elements: an unfair or deceptive act in trade or commerce, public-interest impact, and monetary or property loss. A practice is deceptive when it has a tendency and capacity to deceive.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representation or practice, show its capacity or procedure for repetition, and preserve valuation, repair, consequential-loss, and causation evidence.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 re Zenner</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S.C.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348 S.C. 499, 560 S.E.2d 406</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Publicly reprimanded an attorney whose collection operation used threats of criminal prosecution, abusive language, false legal implications, and threatened unlawful garnishment. The opinion identifies § 37-5-108 and federal law as governing collection conduct.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recordings, letters, call logs, threats, false attorney claims, employer or third-party contacts, dispute notices, represented status, and the legal basis and calculation of the demanded amount.</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TK-Authority-2026-07-SC</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SC</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South Carolina statutes were checked against current state code publications; cases against Judicial Branch opinions; and federal FCRA authorities against current U.S. Code and Regulation V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for federal and South Carolina consumer-protection law. Authorities may change. It is educational and informational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South Carolina administrative citation by agency, chapter, rule,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3190" w14:textId="77777777" w:rsidR="00C50BCF" w:rsidRDefault="00C50BCF">
      <w:pPr>
        <w:spacing w:after="0" w:line="240" w:lineRule="auto"/>
      </w:pPr>
      <w:r>
        <w:separator/>
      </w:r>
    </w:p>
  </w:endnote>
  <w:endnote w:type="continuationSeparator" w:id="0">
    <w:p w14:paraId="53CD7EAA" w14:textId="77777777" w:rsidR="00C50BCF" w:rsidRDefault="00C50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7828" w14:textId="77777777" w:rsidR="00C50BCF" w:rsidRDefault="00C50BCF">
      <w:pPr>
        <w:spacing w:after="0" w:line="240" w:lineRule="auto"/>
      </w:pPr>
      <w:r>
        <w:separator/>
      </w:r>
    </w:p>
  </w:footnote>
  <w:footnote w:type="continuationSeparator" w:id="0">
    <w:p w14:paraId="61ACF513" w14:textId="77777777" w:rsidR="00C50BCF" w:rsidRDefault="00C50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SOUTH CAROLINA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21044"/>
    <w:rsid w:val="00C50BCF"/>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4125</Words>
  <Characters>23516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2026-07-24T18:52:00Z</dcterms:created>
  <dcterms:modified xsi:type="dcterms:W3CDTF">2026-07-24T18:52:00Z</dcterms:modified>
  <cp:category/>
</cp:coreProperties>
</file>