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2F24"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61AE17D9" w14:textId="77777777" w:rsidR="00024A47" w:rsidRPr="00024A47" w:rsidRDefault="00024A47">
      <w:pPr>
        <w:spacing w:after="140"/>
        <w:jc w:val="center"/>
        <w:rPr>
          <w:rFonts w:ascii="Courier New" w:hAnsi="Courier New" w:cs="Courier New"/>
          <w:b/>
          <w:sz w:val="22"/>
        </w:rPr>
      </w:pPr>
    </w:p>
    <w:p w14:paraId="6ED5BA45"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1857E321" w14:textId="77777777" w:rsidR="00566B6A" w:rsidRPr="00024A47" w:rsidRDefault="00566B6A" w:rsidP="00566B6A">
      <w:pPr>
        <w:spacing w:after="0"/>
        <w:jc w:val="center"/>
        <w:rPr>
          <w:rFonts w:ascii="Courier New" w:hAnsi="Courier New" w:cs="Courier New"/>
          <w:bCs/>
          <w:sz w:val="22"/>
        </w:rPr>
      </w:pPr>
    </w:p>
    <w:p w14:paraId="7EB1186A"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6B0299E2"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5DD66B36"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5DBD70E"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Texas (TX)</w:t>
      </w:r>
    </w:p>
    <w:p w14:paraId="5DD5DEC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70D100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1CFE47B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621299B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Texas Deceptive Trade Practices-Consumer Protection Act (DTPA)</w:t>
      </w:r>
    </w:p>
    <w:p w14:paraId="7E9EDD1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Tex. Bus. &amp; Com. Code §§ 17.41 through 17.63</w:t>
      </w:r>
    </w:p>
    <w:p w14:paraId="2F94814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false, misleading, or deceptive trade practices, unconscionable actions, and warranty breaches. A private claimant must be a consumer and connect the conduct to goods or services sought or acquired.</w:t>
      </w:r>
    </w:p>
    <w:p w14:paraId="6F2FD34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Economic damages, costs, and reasonable attorney’s fees; knowing or intentional conduct may support mental-anguish and additional damages. The Attorney General may seek injunctions, restoration, and civil penalties.</w:t>
      </w:r>
    </w:p>
    <w:p w14:paraId="18CA741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Section 17.50 requires an actionable practice that produces damages. Section 17.505 generally requires detailed written notice at least 60 days before a damages suit. Section 17.565 generally provides two years after the act or discovery, with a possible 180-day concealment extension.</w:t>
      </w:r>
    </w:p>
    <w:p w14:paraId="29D4498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Texas Attorney General — Consumer Protection Division; injunctive authority under Tex. Bus. &amp; Com. Code § 17.47.</w:t>
      </w:r>
    </w:p>
    <w:p w14:paraId="5015C291"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6DD61E8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Review the Texas Debt Collection Act’s conduct, dispute, debt-buyer, and identity-theft provisions together with the federal FDCPA.</w:t>
      </w:r>
    </w:p>
    <w:p w14:paraId="4A5ED3F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Chapter 392 prohibits specified threats, harassment, unfair charges, and misleading representations and supplies dispute and civil-remedy procedures.</w:t>
      </w:r>
    </w:p>
    <w:p w14:paraId="32F5EB1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Tex. Fin. Code §§ 392.001 through 392.404; 15 U.S.C. §§ 1692 through 1692p.</w:t>
      </w:r>
    </w:p>
    <w:p w14:paraId="1F49AF9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Texas Attorney General; Office of Consumer Credit Commissioner or another Texas financial regulator where applicable; CFPB and FTC.</w:t>
      </w:r>
    </w:p>
    <w:p w14:paraId="68E14D6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2664433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Texas Chapter 20 governs CRA disclosures, disputes, reporting limits, security alerts, and adult and protected-consumer freezes. Federal FCRA duties also apply.</w:t>
      </w:r>
    </w:p>
    <w:p w14:paraId="6F72543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Adult freezes are governed by Tex. Bus. &amp; Com. Code §§ 20.034–20.039; protected-consumer freezes by §§ 20.21–20.30.</w:t>
      </w:r>
    </w:p>
    <w:p w14:paraId="1014A7C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Section 20.03 provides file, requester, dispute, freeze, and remedy information.</w:t>
      </w:r>
    </w:p>
    <w:p w14:paraId="03755E5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Section 20.06 provides a state dispute procedure; 15 U.S.C. § 1681i remains central. Preserve both records and evaluate preemption.</w:t>
      </w:r>
    </w:p>
    <w:p w14:paraId="48B0789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Texas security alerts are in §§ 20.031–20.033; federal fraud alerts and Chapter 521 identity-theft procedures may also apply.</w:t>
      </w:r>
    </w:p>
    <w:p w14:paraId="350FC6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Section 20.11 authorizes AG injunctions and civil penalties; § 20.12 treats a Chapter 20 violation as a DTPA practice, subject to applicable elements and preemption.</w:t>
      </w:r>
    </w:p>
    <w:p w14:paraId="392E92BB"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4ABFE2E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3E6FAE80"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86396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0154A9D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t>
      </w:r>
      <w:r w:rsidRPr="00566B6A">
        <w:rPr>
          <w:rFonts w:ascii="Courier New" w:hAnsi="Courier New" w:cs="Courier New"/>
          <w:bCs/>
          <w:sz w:val="22"/>
        </w:rPr>
        <w:lastRenderedPageBreak/>
        <w:t>with § 1681i(a)(5). Section 1681i(a)(4) requires the agency to review and consider all relevant information submitted by the consumer.</w:t>
      </w:r>
    </w:p>
    <w:p w14:paraId="28036D6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2688BDE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6EAB9DF"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55E98BDF"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7BA7C2B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6DE635C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w:t>
      </w:r>
      <w:r w:rsidRPr="00566B6A">
        <w:rPr>
          <w:rFonts w:ascii="Courier New" w:hAnsi="Courier New" w:cs="Courier New"/>
          <w:bCs/>
          <w:sz w:val="22"/>
        </w:rPr>
        <w:lastRenderedPageBreak/>
        <w:t>cannot be verified, reflects a mixed file, or resulted from identity theft. Preserve the report page, proof of current identity and residence, employment records, dispute confirmation, and reinvestigation results.</w:t>
      </w:r>
    </w:p>
    <w:p w14:paraId="33AB10C1"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44AE8BC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Tex. Bus. &amp; Com. Code §§ 521.001–521.152 prohibits unauthorized identifying-information use under § 521.051; Tex. Penal Code § 32.51 addresses criminal conduct.</w:t>
      </w:r>
    </w:p>
    <w:p w14:paraId="773494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order: Sections 521.101–521.105 permit a sealed identity-theft victim declaration that may support correction of affected records.</w:t>
      </w:r>
    </w:p>
    <w:p w14:paraId="37412C5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5A4E2DD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4425C9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00E6D68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Section 521.053 generally requires resident notice within 60 days. A breach involving at least 250 Texas residents requires AG notice within 30 days of the determination.</w:t>
      </w:r>
    </w:p>
    <w:p w14:paraId="32C0284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Chapter 521 covers safeguards, breach notice, victim orders, civil penalties, injunctions, and DTPA treatment of § 521.051 violations.</w:t>
      </w:r>
    </w:p>
    <w:p w14:paraId="10D5C04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The Texas Data Privacy and Security Act is in Tex. Bus. &amp; Com. Code Chapter 541; sector-specific state and federal rules may also apply.</w:t>
      </w:r>
    </w:p>
    <w:p w14:paraId="733D2C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CEBC87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4C764A5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Texas Attorney General: Consumer Protection Division — DTPA, debt-collection, credit-reporting, identity-theft, and breach enforcement within statutory authority.</w:t>
      </w:r>
    </w:p>
    <w:p w14:paraId="710E753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Texas Office of Consumer Credit Commissioner: Complaint and regulatory pathway for entities within its jurisdiction.</w:t>
      </w:r>
    </w:p>
    <w:p w14:paraId="52B2E29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Other Texas financial regulators: Complaint pathways for institutions within their respective jurisdiction.</w:t>
      </w:r>
    </w:p>
    <w:p w14:paraId="33ABBC8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5E6D7D8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2975C477"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credit-reporting disputes; none are identified as directly applicable in Texas without municipal verification.</w:t>
      </w:r>
    </w:p>
    <w:p w14:paraId="25FEDEF3" w14:textId="77777777" w:rsidR="00566B6A" w:rsidRPr="00566B6A" w:rsidRDefault="00566B6A" w:rsidP="00566B6A">
      <w:pPr>
        <w:spacing w:after="0"/>
        <w:rPr>
          <w:rFonts w:ascii="Courier New" w:hAnsi="Courier New" w:cs="Courier New"/>
          <w:bCs/>
          <w:sz w:val="22"/>
        </w:rPr>
      </w:pPr>
    </w:p>
    <w:p w14:paraId="3DBBE253"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5C1FEF34" w14:textId="77777777">
        <w:trPr>
          <w:cantSplit/>
          <w:tblHeader/>
          <w:jc w:val="center"/>
        </w:trPr>
        <w:tc>
          <w:tcPr>
            <w:tcW w:w="1440" w:type="dxa"/>
            <w:shd w:val="clear" w:color="auto" w:fill="D9EAF7"/>
            <w:tcMar>
              <w:top w:w="55" w:type="dxa"/>
              <w:left w:w="55" w:type="dxa"/>
              <w:bottom w:w="55" w:type="dxa"/>
              <w:right w:w="55" w:type="dxa"/>
            </w:tcMar>
            <w:vAlign w:val="center"/>
          </w:tcPr>
          <w:p w14:paraId="6BE6600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FFE7FC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6179A9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135BE4C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4763D64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07EBBD65" w14:textId="77777777">
        <w:trPr>
          <w:cantSplit/>
          <w:jc w:val="center"/>
        </w:trPr>
        <w:tc>
          <w:tcPr>
            <w:tcW w:w="1440" w:type="dxa"/>
            <w:tcMar>
              <w:top w:w="50" w:type="dxa"/>
              <w:left w:w="55" w:type="dxa"/>
              <w:bottom w:w="50" w:type="dxa"/>
              <w:right w:w="55" w:type="dxa"/>
            </w:tcMar>
          </w:tcPr>
          <w:p w14:paraId="50288B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3E7A10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17.41–17.63</w:t>
            </w:r>
          </w:p>
        </w:tc>
        <w:tc>
          <w:tcPr>
            <w:tcW w:w="3168" w:type="dxa"/>
            <w:tcMar>
              <w:top w:w="50" w:type="dxa"/>
              <w:left w:w="55" w:type="dxa"/>
              <w:bottom w:w="50" w:type="dxa"/>
              <w:right w:w="55" w:type="dxa"/>
            </w:tcMar>
          </w:tcPr>
          <w:p w14:paraId="6BDB66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deceptive practices, unconscionability, and warranty claims</w:t>
            </w:r>
          </w:p>
        </w:tc>
        <w:tc>
          <w:tcPr>
            <w:tcW w:w="3456" w:type="dxa"/>
            <w:tcMar>
              <w:top w:w="50" w:type="dxa"/>
              <w:left w:w="55" w:type="dxa"/>
              <w:bottom w:w="50" w:type="dxa"/>
              <w:right w:w="55" w:type="dxa"/>
            </w:tcMar>
          </w:tcPr>
          <w:p w14:paraId="5B090F9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Economic and qualifying additional damages; fees; AG relief</w:t>
            </w:r>
          </w:p>
        </w:tc>
        <w:tc>
          <w:tcPr>
            <w:tcW w:w="3888" w:type="dxa"/>
            <w:tcMar>
              <w:top w:w="50" w:type="dxa"/>
              <w:left w:w="55" w:type="dxa"/>
              <w:bottom w:w="50" w:type="dxa"/>
              <w:right w:w="55" w:type="dxa"/>
            </w:tcMar>
          </w:tcPr>
          <w:p w14:paraId="05A78D7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nexus; practice; reliance if required; cause; notice; timing</w:t>
            </w:r>
          </w:p>
        </w:tc>
      </w:tr>
      <w:tr w:rsidR="00756B19" w:rsidRPr="00566B6A" w14:paraId="037149BF" w14:textId="77777777">
        <w:trPr>
          <w:cantSplit/>
          <w:jc w:val="center"/>
        </w:trPr>
        <w:tc>
          <w:tcPr>
            <w:tcW w:w="1440" w:type="dxa"/>
            <w:shd w:val="clear" w:color="auto" w:fill="F7FAFC"/>
            <w:tcMar>
              <w:top w:w="50" w:type="dxa"/>
              <w:left w:w="55" w:type="dxa"/>
              <w:bottom w:w="50" w:type="dxa"/>
              <w:right w:w="55" w:type="dxa"/>
            </w:tcMar>
          </w:tcPr>
          <w:p w14:paraId="79CD7C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B1BABB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Fin. Code §§ 392.001–392.404</w:t>
            </w:r>
          </w:p>
        </w:tc>
        <w:tc>
          <w:tcPr>
            <w:tcW w:w="3168" w:type="dxa"/>
            <w:shd w:val="clear" w:color="auto" w:fill="F7FAFC"/>
            <w:tcMar>
              <w:top w:w="50" w:type="dxa"/>
              <w:left w:w="55" w:type="dxa"/>
              <w:bottom w:w="50" w:type="dxa"/>
              <w:right w:w="55" w:type="dxa"/>
            </w:tcMar>
          </w:tcPr>
          <w:p w14:paraId="4F97C5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Debt-collection conduct, disputes, debt buyers, and identity-theft debts</w:t>
            </w:r>
          </w:p>
        </w:tc>
        <w:tc>
          <w:tcPr>
            <w:tcW w:w="3456" w:type="dxa"/>
            <w:shd w:val="clear" w:color="auto" w:fill="F7FAFC"/>
            <w:tcMar>
              <w:top w:w="50" w:type="dxa"/>
              <w:left w:w="55" w:type="dxa"/>
              <w:bottom w:w="50" w:type="dxa"/>
              <w:right w:w="55" w:type="dxa"/>
            </w:tcMar>
          </w:tcPr>
          <w:p w14:paraId="0C7626E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actual damages; fees; specified relief; AG and DTPA remedies</w:t>
            </w:r>
          </w:p>
        </w:tc>
        <w:tc>
          <w:tcPr>
            <w:tcW w:w="3888" w:type="dxa"/>
            <w:shd w:val="clear" w:color="auto" w:fill="F7FAFC"/>
            <w:tcMar>
              <w:top w:w="50" w:type="dxa"/>
              <w:left w:w="55" w:type="dxa"/>
              <w:bottom w:w="50" w:type="dxa"/>
              <w:right w:w="55" w:type="dxa"/>
            </w:tcMar>
          </w:tcPr>
          <w:p w14:paraId="2BC018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debt purpose; letters/calls; fee authority; dispute and balance</w:t>
            </w:r>
          </w:p>
        </w:tc>
      </w:tr>
      <w:tr w:rsidR="00756B19" w:rsidRPr="00566B6A" w14:paraId="5437DE3D" w14:textId="77777777">
        <w:trPr>
          <w:cantSplit/>
          <w:jc w:val="center"/>
        </w:trPr>
        <w:tc>
          <w:tcPr>
            <w:tcW w:w="1440" w:type="dxa"/>
            <w:tcMar>
              <w:top w:w="50" w:type="dxa"/>
              <w:left w:w="55" w:type="dxa"/>
              <w:bottom w:w="50" w:type="dxa"/>
              <w:right w:w="55" w:type="dxa"/>
            </w:tcMar>
          </w:tcPr>
          <w:p w14:paraId="2C26DC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9F7822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ch. 20</w:t>
            </w:r>
          </w:p>
        </w:tc>
        <w:tc>
          <w:tcPr>
            <w:tcW w:w="3168" w:type="dxa"/>
            <w:tcMar>
              <w:top w:w="50" w:type="dxa"/>
              <w:left w:w="55" w:type="dxa"/>
              <w:bottom w:w="50" w:type="dxa"/>
              <w:right w:w="55" w:type="dxa"/>
            </w:tcMar>
          </w:tcPr>
          <w:p w14:paraId="57495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disclosures, disputes, reporting limits, alerts, and freezes</w:t>
            </w:r>
          </w:p>
        </w:tc>
        <w:tc>
          <w:tcPr>
            <w:tcW w:w="3456" w:type="dxa"/>
            <w:tcMar>
              <w:top w:w="50" w:type="dxa"/>
              <w:left w:w="55" w:type="dxa"/>
              <w:bottom w:w="50" w:type="dxa"/>
              <w:right w:w="55" w:type="dxa"/>
            </w:tcMar>
          </w:tcPr>
          <w:p w14:paraId="330068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procedures; AG penalties; DTPA treatment</w:t>
            </w:r>
          </w:p>
        </w:tc>
        <w:tc>
          <w:tcPr>
            <w:tcW w:w="3888" w:type="dxa"/>
            <w:tcMar>
              <w:top w:w="50" w:type="dxa"/>
              <w:left w:w="55" w:type="dxa"/>
              <w:bottom w:w="50" w:type="dxa"/>
              <w:right w:w="55" w:type="dxa"/>
            </w:tcMar>
          </w:tcPr>
          <w:p w14:paraId="31BDAA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File; dispute; reinvestigation; freeze; releases; notices</w:t>
            </w:r>
          </w:p>
        </w:tc>
      </w:tr>
      <w:tr w:rsidR="00756B19" w:rsidRPr="00566B6A" w14:paraId="262436DE" w14:textId="77777777">
        <w:trPr>
          <w:cantSplit/>
          <w:jc w:val="center"/>
        </w:trPr>
        <w:tc>
          <w:tcPr>
            <w:tcW w:w="1440" w:type="dxa"/>
            <w:shd w:val="clear" w:color="auto" w:fill="F7FAFC"/>
            <w:tcMar>
              <w:top w:w="50" w:type="dxa"/>
              <w:left w:w="55" w:type="dxa"/>
              <w:bottom w:w="50" w:type="dxa"/>
              <w:right w:w="55" w:type="dxa"/>
            </w:tcMar>
          </w:tcPr>
          <w:p w14:paraId="7E55B7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396704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521.053</w:t>
            </w:r>
          </w:p>
        </w:tc>
        <w:tc>
          <w:tcPr>
            <w:tcW w:w="3168" w:type="dxa"/>
            <w:shd w:val="clear" w:color="auto" w:fill="F7FAFC"/>
            <w:tcMar>
              <w:top w:w="50" w:type="dxa"/>
              <w:left w:w="55" w:type="dxa"/>
              <w:bottom w:w="50" w:type="dxa"/>
              <w:right w:w="55" w:type="dxa"/>
            </w:tcMar>
          </w:tcPr>
          <w:p w14:paraId="401D08A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Resident and qualifying AG breach notice</w:t>
            </w:r>
          </w:p>
        </w:tc>
        <w:tc>
          <w:tcPr>
            <w:tcW w:w="3456" w:type="dxa"/>
            <w:shd w:val="clear" w:color="auto" w:fill="F7FAFC"/>
            <w:tcMar>
              <w:top w:w="50" w:type="dxa"/>
              <w:left w:w="55" w:type="dxa"/>
              <w:bottom w:w="50" w:type="dxa"/>
              <w:right w:w="55" w:type="dxa"/>
            </w:tcMar>
          </w:tcPr>
          <w:p w14:paraId="34E243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civil penalties, injunction, and equitable relief</w:t>
            </w:r>
          </w:p>
        </w:tc>
        <w:tc>
          <w:tcPr>
            <w:tcW w:w="3888" w:type="dxa"/>
            <w:shd w:val="clear" w:color="auto" w:fill="F7FAFC"/>
            <w:tcMar>
              <w:top w:w="50" w:type="dxa"/>
              <w:left w:w="55" w:type="dxa"/>
              <w:bottom w:w="50" w:type="dxa"/>
              <w:right w:w="55" w:type="dxa"/>
            </w:tcMar>
          </w:tcPr>
          <w:p w14:paraId="67543FE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affected count; data; AG filing; remediation</w:t>
            </w:r>
          </w:p>
        </w:tc>
      </w:tr>
      <w:tr w:rsidR="00756B19" w:rsidRPr="00566B6A" w14:paraId="6213FB34" w14:textId="77777777">
        <w:trPr>
          <w:cantSplit/>
          <w:jc w:val="center"/>
        </w:trPr>
        <w:tc>
          <w:tcPr>
            <w:tcW w:w="1440" w:type="dxa"/>
            <w:tcMar>
              <w:top w:w="50" w:type="dxa"/>
              <w:left w:w="55" w:type="dxa"/>
              <w:bottom w:w="50" w:type="dxa"/>
              <w:right w:w="55" w:type="dxa"/>
            </w:tcMar>
          </w:tcPr>
          <w:p w14:paraId="5659B41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A5EE7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521.001–521.152</w:t>
            </w:r>
          </w:p>
        </w:tc>
        <w:tc>
          <w:tcPr>
            <w:tcW w:w="3168" w:type="dxa"/>
            <w:tcMar>
              <w:top w:w="50" w:type="dxa"/>
              <w:left w:w="55" w:type="dxa"/>
              <w:bottom w:w="50" w:type="dxa"/>
              <w:right w:w="55" w:type="dxa"/>
            </w:tcMar>
          </w:tcPr>
          <w:p w14:paraId="35E680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safeguards, victim orders, and remedies</w:t>
            </w:r>
          </w:p>
        </w:tc>
        <w:tc>
          <w:tcPr>
            <w:tcW w:w="3456" w:type="dxa"/>
            <w:tcMar>
              <w:top w:w="50" w:type="dxa"/>
              <w:left w:w="55" w:type="dxa"/>
              <w:bottom w:w="50" w:type="dxa"/>
              <w:right w:w="55" w:type="dxa"/>
            </w:tcMar>
          </w:tcPr>
          <w:p w14:paraId="66D37B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Victim order and correction; AG relief; DTPA treatment</w:t>
            </w:r>
          </w:p>
        </w:tc>
        <w:tc>
          <w:tcPr>
            <w:tcW w:w="3888" w:type="dxa"/>
            <w:tcMar>
              <w:top w:w="50" w:type="dxa"/>
              <w:left w:w="55" w:type="dxa"/>
              <w:bottom w:w="50" w:type="dxa"/>
              <w:right w:w="55" w:type="dxa"/>
            </w:tcMar>
          </w:tcPr>
          <w:p w14:paraId="5A2F42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order; accounts; creditor and bureau notices</w:t>
            </w:r>
          </w:p>
        </w:tc>
      </w:tr>
      <w:tr w:rsidR="00756B19" w:rsidRPr="00566B6A" w14:paraId="43A8B4A0" w14:textId="77777777">
        <w:trPr>
          <w:cantSplit/>
          <w:jc w:val="center"/>
        </w:trPr>
        <w:tc>
          <w:tcPr>
            <w:tcW w:w="1440" w:type="dxa"/>
            <w:shd w:val="clear" w:color="auto" w:fill="F7FAFC"/>
            <w:tcMar>
              <w:top w:w="50" w:type="dxa"/>
              <w:left w:w="55" w:type="dxa"/>
              <w:bottom w:w="50" w:type="dxa"/>
              <w:right w:w="55" w:type="dxa"/>
            </w:tcMar>
          </w:tcPr>
          <w:p w14:paraId="3398EF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0D1B8F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Texas AG — Consumer Protection Division</w:t>
            </w:r>
          </w:p>
        </w:tc>
        <w:tc>
          <w:tcPr>
            <w:tcW w:w="3168" w:type="dxa"/>
            <w:shd w:val="clear" w:color="auto" w:fill="F7FAFC"/>
            <w:tcMar>
              <w:top w:w="50" w:type="dxa"/>
              <w:left w:w="55" w:type="dxa"/>
              <w:bottom w:w="50" w:type="dxa"/>
              <w:right w:w="55" w:type="dxa"/>
            </w:tcMar>
          </w:tcPr>
          <w:p w14:paraId="75543D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statewide enforcement</w:t>
            </w:r>
          </w:p>
        </w:tc>
        <w:tc>
          <w:tcPr>
            <w:tcW w:w="3456" w:type="dxa"/>
            <w:shd w:val="clear" w:color="auto" w:fill="F7FAFC"/>
            <w:tcMar>
              <w:top w:w="50" w:type="dxa"/>
              <w:left w:w="55" w:type="dxa"/>
              <w:bottom w:w="50" w:type="dxa"/>
              <w:right w:w="55" w:type="dxa"/>
            </w:tcMar>
          </w:tcPr>
          <w:p w14:paraId="3BCF207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injunction, restoration, and penalties</w:t>
            </w:r>
          </w:p>
        </w:tc>
        <w:tc>
          <w:tcPr>
            <w:tcW w:w="3888" w:type="dxa"/>
            <w:shd w:val="clear" w:color="auto" w:fill="F7FAFC"/>
            <w:tcMar>
              <w:top w:w="50" w:type="dxa"/>
              <w:left w:w="55" w:type="dxa"/>
              <w:bottom w:w="50" w:type="dxa"/>
              <w:right w:w="55" w:type="dxa"/>
            </w:tcMar>
          </w:tcPr>
          <w:p w14:paraId="141D50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response; chronology</w:t>
            </w:r>
          </w:p>
        </w:tc>
      </w:tr>
      <w:tr w:rsidR="00756B19" w:rsidRPr="00566B6A" w14:paraId="53FD7A29" w14:textId="77777777">
        <w:trPr>
          <w:cantSplit/>
          <w:jc w:val="center"/>
        </w:trPr>
        <w:tc>
          <w:tcPr>
            <w:tcW w:w="1440" w:type="dxa"/>
            <w:tcMar>
              <w:top w:w="50" w:type="dxa"/>
              <w:left w:w="55" w:type="dxa"/>
              <w:bottom w:w="50" w:type="dxa"/>
              <w:right w:w="55" w:type="dxa"/>
            </w:tcMar>
          </w:tcPr>
          <w:p w14:paraId="3A2631D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66521B0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OCCC / Texas financial regulators</w:t>
            </w:r>
          </w:p>
        </w:tc>
        <w:tc>
          <w:tcPr>
            <w:tcW w:w="3168" w:type="dxa"/>
            <w:tcMar>
              <w:top w:w="50" w:type="dxa"/>
              <w:left w:w="55" w:type="dxa"/>
              <w:bottom w:w="50" w:type="dxa"/>
              <w:right w:w="55" w:type="dxa"/>
            </w:tcMar>
          </w:tcPr>
          <w:p w14:paraId="76E2ED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Regulated credit and financial-service entities</w:t>
            </w:r>
          </w:p>
        </w:tc>
        <w:tc>
          <w:tcPr>
            <w:tcW w:w="3456" w:type="dxa"/>
            <w:tcMar>
              <w:top w:w="50" w:type="dxa"/>
              <w:left w:w="55" w:type="dxa"/>
              <w:bottom w:w="50" w:type="dxa"/>
              <w:right w:w="55" w:type="dxa"/>
            </w:tcMar>
          </w:tcPr>
          <w:p w14:paraId="7AC89A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complaint review, examination, and authorized action</w:t>
            </w:r>
          </w:p>
        </w:tc>
        <w:tc>
          <w:tcPr>
            <w:tcW w:w="3888" w:type="dxa"/>
            <w:tcMar>
              <w:top w:w="50" w:type="dxa"/>
              <w:left w:w="55" w:type="dxa"/>
              <w:bottom w:w="50" w:type="dxa"/>
              <w:right w:w="55" w:type="dxa"/>
            </w:tcMar>
          </w:tcPr>
          <w:p w14:paraId="7CE7643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w:t>
            </w:r>
          </w:p>
        </w:tc>
      </w:tr>
      <w:tr w:rsidR="00756B19" w:rsidRPr="00566B6A" w14:paraId="48089FF1" w14:textId="77777777">
        <w:trPr>
          <w:cantSplit/>
          <w:jc w:val="center"/>
        </w:trPr>
        <w:tc>
          <w:tcPr>
            <w:tcW w:w="1440" w:type="dxa"/>
            <w:shd w:val="clear" w:color="auto" w:fill="F7FAFC"/>
            <w:tcMar>
              <w:top w:w="50" w:type="dxa"/>
              <w:left w:w="55" w:type="dxa"/>
              <w:bottom w:w="50" w:type="dxa"/>
              <w:right w:w="55" w:type="dxa"/>
            </w:tcMar>
          </w:tcPr>
          <w:p w14:paraId="3E4456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5EB484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4E3E2C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42317E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7FD5CC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Texas and federal law</w:t>
            </w:r>
          </w:p>
        </w:tc>
      </w:tr>
      <w:tr w:rsidR="00756B19" w:rsidRPr="00566B6A" w14:paraId="79985C72" w14:textId="77777777">
        <w:trPr>
          <w:jc w:val="center"/>
        </w:trPr>
        <w:tc>
          <w:tcPr>
            <w:tcW w:w="1440" w:type="dxa"/>
          </w:tcPr>
          <w:p w14:paraId="0DECB67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4D21E6B9"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289D3714"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3256B503"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436AF727"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677ABAF8" w14:textId="77777777">
        <w:trPr>
          <w:jc w:val="center"/>
        </w:trPr>
        <w:tc>
          <w:tcPr>
            <w:tcW w:w="1440" w:type="dxa"/>
          </w:tcPr>
          <w:p w14:paraId="651F73FA"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02B133B0"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63188FB2"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404D98AD"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7BE6FCBC"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34E3D1D8" w14:textId="77777777">
        <w:trPr>
          <w:jc w:val="center"/>
        </w:trPr>
        <w:tc>
          <w:tcPr>
            <w:tcW w:w="1440" w:type="dxa"/>
          </w:tcPr>
          <w:p w14:paraId="6A63B3E7"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0DF98FC5"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3A0D2CCB"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267C3260"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05A5636C"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22F61A5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65E6C4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Texas (TX)</w:t>
      </w:r>
    </w:p>
    <w:p w14:paraId="7F6BC6DC"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McCaig is a Fifth Circuit decision applying Texas law, not a Texas Supreme Court decision.</w:t>
      </w:r>
    </w:p>
    <w:p w14:paraId="64B8F0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3CB52A7" w14:textId="77777777">
        <w:trPr>
          <w:cantSplit/>
          <w:tblHeader/>
          <w:jc w:val="center"/>
        </w:trPr>
        <w:tc>
          <w:tcPr>
            <w:tcW w:w="2232" w:type="dxa"/>
            <w:shd w:val="clear" w:color="auto" w:fill="D9EAF7"/>
            <w:tcMar>
              <w:top w:w="55" w:type="dxa"/>
              <w:left w:w="55" w:type="dxa"/>
              <w:bottom w:w="55" w:type="dxa"/>
              <w:right w:w="55" w:type="dxa"/>
            </w:tcMar>
            <w:vAlign w:val="center"/>
          </w:tcPr>
          <w:p w14:paraId="25F0B97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1F081A8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4EF1A3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3CC9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C1083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08C5CA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5ADFCD22" w14:textId="77777777">
        <w:trPr>
          <w:cantSplit/>
          <w:jc w:val="center"/>
        </w:trPr>
        <w:tc>
          <w:tcPr>
            <w:tcW w:w="2232" w:type="dxa"/>
            <w:tcMar>
              <w:top w:w="50" w:type="dxa"/>
              <w:left w:w="55" w:type="dxa"/>
              <w:bottom w:w="50" w:type="dxa"/>
              <w:right w:w="55" w:type="dxa"/>
            </w:tcMar>
          </w:tcPr>
          <w:p w14:paraId="7A2E9E4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Amstadt v. U.S. Brass Corp.</w:t>
            </w:r>
          </w:p>
        </w:tc>
        <w:tc>
          <w:tcPr>
            <w:tcW w:w="1152" w:type="dxa"/>
            <w:tcMar>
              <w:top w:w="50" w:type="dxa"/>
              <w:left w:w="55" w:type="dxa"/>
              <w:bottom w:w="50" w:type="dxa"/>
              <w:right w:w="55" w:type="dxa"/>
            </w:tcMar>
          </w:tcPr>
          <w:p w14:paraId="697B83F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tcMar>
              <w:top w:w="50" w:type="dxa"/>
              <w:left w:w="55" w:type="dxa"/>
              <w:bottom w:w="50" w:type="dxa"/>
              <w:right w:w="55" w:type="dxa"/>
            </w:tcMar>
          </w:tcPr>
          <w:p w14:paraId="4282FA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1996</w:t>
            </w:r>
          </w:p>
        </w:tc>
        <w:tc>
          <w:tcPr>
            <w:tcW w:w="2088" w:type="dxa"/>
            <w:tcMar>
              <w:top w:w="50" w:type="dxa"/>
              <w:left w:w="55" w:type="dxa"/>
              <w:bottom w:w="50" w:type="dxa"/>
              <w:right w:w="55" w:type="dxa"/>
            </w:tcMar>
          </w:tcPr>
          <w:p w14:paraId="35DDEE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919 S.W.2d 644</w:t>
            </w:r>
          </w:p>
        </w:tc>
        <w:tc>
          <w:tcPr>
            <w:tcW w:w="4536" w:type="dxa"/>
            <w:tcMar>
              <w:top w:w="50" w:type="dxa"/>
              <w:left w:w="55" w:type="dxa"/>
              <w:bottom w:w="50" w:type="dxa"/>
              <w:right w:w="55" w:type="dxa"/>
            </w:tcMar>
          </w:tcPr>
          <w:p w14:paraId="1E25199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DTPA claimant must be a consumer, prove a statutory violation and producing cause, and show the conduct was sufficiently connected with the consumer transaction.</w:t>
            </w:r>
          </w:p>
        </w:tc>
        <w:tc>
          <w:tcPr>
            <w:tcW w:w="3643" w:type="dxa"/>
            <w:tcMar>
              <w:top w:w="50" w:type="dxa"/>
              <w:left w:w="55" w:type="dxa"/>
              <w:bottom w:w="50" w:type="dxa"/>
              <w:right w:w="55" w:type="dxa"/>
            </w:tcMar>
          </w:tcPr>
          <w:p w14:paraId="1052FD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acquisition proof, the communication or conduct, transaction nexus, reliance if required, and damages.</w:t>
            </w:r>
          </w:p>
        </w:tc>
      </w:tr>
      <w:tr w:rsidR="00756B19" w:rsidRPr="00566B6A" w14:paraId="6C309AFF" w14:textId="77777777">
        <w:trPr>
          <w:cantSplit/>
          <w:jc w:val="center"/>
        </w:trPr>
        <w:tc>
          <w:tcPr>
            <w:tcW w:w="2232" w:type="dxa"/>
            <w:shd w:val="clear" w:color="auto" w:fill="F7FAFC"/>
            <w:tcMar>
              <w:top w:w="50" w:type="dxa"/>
              <w:left w:w="55" w:type="dxa"/>
              <w:bottom w:w="50" w:type="dxa"/>
              <w:right w:w="55" w:type="dxa"/>
            </w:tcMar>
          </w:tcPr>
          <w:p w14:paraId="56CD708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Tony Gullo Motors I, L.P. v. Chapa</w:t>
            </w:r>
          </w:p>
        </w:tc>
        <w:tc>
          <w:tcPr>
            <w:tcW w:w="1152" w:type="dxa"/>
            <w:shd w:val="clear" w:color="auto" w:fill="F7FAFC"/>
            <w:tcMar>
              <w:top w:w="50" w:type="dxa"/>
              <w:left w:w="55" w:type="dxa"/>
              <w:bottom w:w="50" w:type="dxa"/>
              <w:right w:w="55" w:type="dxa"/>
            </w:tcMar>
          </w:tcPr>
          <w:p w14:paraId="22621F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shd w:val="clear" w:color="auto" w:fill="F7FAFC"/>
            <w:tcMar>
              <w:top w:w="50" w:type="dxa"/>
              <w:left w:w="55" w:type="dxa"/>
              <w:bottom w:w="50" w:type="dxa"/>
              <w:right w:w="55" w:type="dxa"/>
            </w:tcMar>
          </w:tcPr>
          <w:p w14:paraId="295741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137BD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S.W.3d 299</w:t>
            </w:r>
          </w:p>
        </w:tc>
        <w:tc>
          <w:tcPr>
            <w:tcW w:w="4536" w:type="dxa"/>
            <w:shd w:val="clear" w:color="auto" w:fill="F7FAFC"/>
            <w:tcMar>
              <w:top w:w="50" w:type="dxa"/>
              <w:left w:w="55" w:type="dxa"/>
              <w:bottom w:w="50" w:type="dxa"/>
              <w:right w:w="55" w:type="dxa"/>
            </w:tcMar>
          </w:tcPr>
          <w:p w14:paraId="116543E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claimant may elect the most favorable supported remedy; attorney’s fees must be segregated between recoverable and unrecoverable claims unless the work advances both inseparably.</w:t>
            </w:r>
          </w:p>
        </w:tc>
        <w:tc>
          <w:tcPr>
            <w:tcW w:w="3643" w:type="dxa"/>
            <w:shd w:val="clear" w:color="auto" w:fill="F7FAFC"/>
            <w:tcMar>
              <w:top w:w="50" w:type="dxa"/>
              <w:left w:w="55" w:type="dxa"/>
              <w:bottom w:w="50" w:type="dxa"/>
              <w:right w:w="55" w:type="dxa"/>
            </w:tcMar>
          </w:tcPr>
          <w:p w14:paraId="74EABBB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damages and fee records by claim and preserve knowledge, intent, offers, and time documentation.</w:t>
            </w:r>
          </w:p>
        </w:tc>
      </w:tr>
    </w:tbl>
    <w:p w14:paraId="1FB70CF8" w14:textId="77777777" w:rsidR="00756B19" w:rsidRPr="00566B6A" w:rsidRDefault="00756B19">
      <w:pPr>
        <w:spacing w:after="20"/>
        <w:rPr>
          <w:rFonts w:ascii="Courier New" w:hAnsi="Courier New" w:cs="Courier New"/>
          <w:sz w:val="22"/>
        </w:rPr>
      </w:pPr>
    </w:p>
    <w:p w14:paraId="4C7941F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0A819BC6" w14:textId="77777777">
        <w:trPr>
          <w:cantSplit/>
          <w:tblHeader/>
          <w:jc w:val="center"/>
        </w:trPr>
        <w:tc>
          <w:tcPr>
            <w:tcW w:w="2232" w:type="dxa"/>
            <w:shd w:val="clear" w:color="auto" w:fill="D9EAF7"/>
            <w:tcMar>
              <w:top w:w="55" w:type="dxa"/>
              <w:left w:w="55" w:type="dxa"/>
              <w:bottom w:w="55" w:type="dxa"/>
              <w:right w:w="55" w:type="dxa"/>
            </w:tcMar>
            <w:vAlign w:val="center"/>
          </w:tcPr>
          <w:p w14:paraId="62E4593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6D3FDE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63E822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714463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FD6BE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C5E58C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79839933" w14:textId="77777777">
        <w:trPr>
          <w:cantSplit/>
          <w:jc w:val="center"/>
        </w:trPr>
        <w:tc>
          <w:tcPr>
            <w:tcW w:w="2232" w:type="dxa"/>
            <w:tcMar>
              <w:top w:w="50" w:type="dxa"/>
              <w:left w:w="55" w:type="dxa"/>
              <w:bottom w:w="50" w:type="dxa"/>
              <w:right w:w="55" w:type="dxa"/>
            </w:tcMar>
          </w:tcPr>
          <w:p w14:paraId="2941B2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McCaig v. Wells Fargo Bank (Texas), N.A.</w:t>
            </w:r>
          </w:p>
        </w:tc>
        <w:tc>
          <w:tcPr>
            <w:tcW w:w="1152" w:type="dxa"/>
            <w:tcMar>
              <w:top w:w="50" w:type="dxa"/>
              <w:left w:w="55" w:type="dxa"/>
              <w:bottom w:w="50" w:type="dxa"/>
              <w:right w:w="55" w:type="dxa"/>
            </w:tcMar>
          </w:tcPr>
          <w:p w14:paraId="586D96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 (S.D. Tex.)</w:t>
            </w:r>
          </w:p>
        </w:tc>
        <w:tc>
          <w:tcPr>
            <w:tcW w:w="748" w:type="dxa"/>
            <w:tcMar>
              <w:top w:w="50" w:type="dxa"/>
              <w:left w:w="55" w:type="dxa"/>
              <w:bottom w:w="50" w:type="dxa"/>
              <w:right w:w="55" w:type="dxa"/>
            </w:tcMar>
          </w:tcPr>
          <w:p w14:paraId="7F286E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4D206E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788 F.3d 463</w:t>
            </w:r>
          </w:p>
        </w:tc>
        <w:tc>
          <w:tcPr>
            <w:tcW w:w="4536" w:type="dxa"/>
            <w:tcMar>
              <w:top w:w="50" w:type="dxa"/>
              <w:left w:w="55" w:type="dxa"/>
              <w:bottom w:w="50" w:type="dxa"/>
              <w:right w:w="55" w:type="dxa"/>
            </w:tcMar>
          </w:tcPr>
          <w:p w14:paraId="704EA6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TDCA liability for an unlawful foreclosure threat, unauthorized fees, and debt-amount misrepresentations; § 392.304(a)(8) has no separate intent requirement.</w:t>
            </w:r>
          </w:p>
        </w:tc>
        <w:tc>
          <w:tcPr>
            <w:tcW w:w="3643" w:type="dxa"/>
            <w:tcMar>
              <w:top w:w="50" w:type="dxa"/>
              <w:left w:w="55" w:type="dxa"/>
              <w:bottom w:w="50" w:type="dxa"/>
              <w:right w:w="55" w:type="dxa"/>
            </w:tcMar>
          </w:tcPr>
          <w:p w14:paraId="144D6E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agreements, payments, notices, fee authority, account histories, disputes, harm, and fee records.</w:t>
            </w:r>
          </w:p>
        </w:tc>
      </w:tr>
    </w:tbl>
    <w:p w14:paraId="4899275F" w14:textId="77777777" w:rsidR="00756B19" w:rsidRPr="00566B6A" w:rsidRDefault="00756B19">
      <w:pPr>
        <w:spacing w:after="20"/>
        <w:rPr>
          <w:rFonts w:ascii="Courier New" w:hAnsi="Courier New" w:cs="Courier New"/>
          <w:sz w:val="22"/>
        </w:rPr>
      </w:pPr>
    </w:p>
    <w:p w14:paraId="36884C7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B584868" w14:textId="77777777">
        <w:trPr>
          <w:cantSplit/>
          <w:tblHeader/>
          <w:jc w:val="center"/>
        </w:trPr>
        <w:tc>
          <w:tcPr>
            <w:tcW w:w="2232" w:type="dxa"/>
            <w:shd w:val="clear" w:color="auto" w:fill="D9EAF7"/>
            <w:tcMar>
              <w:top w:w="55" w:type="dxa"/>
              <w:left w:w="55" w:type="dxa"/>
              <w:bottom w:w="55" w:type="dxa"/>
              <w:right w:w="55" w:type="dxa"/>
            </w:tcMar>
            <w:vAlign w:val="center"/>
          </w:tcPr>
          <w:p w14:paraId="25E9583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3EA865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731305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151961C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9C93B7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07FBA0E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03408A0" w14:textId="77777777">
        <w:trPr>
          <w:cantSplit/>
          <w:jc w:val="center"/>
        </w:trPr>
        <w:tc>
          <w:tcPr>
            <w:tcW w:w="2232" w:type="dxa"/>
            <w:tcMar>
              <w:top w:w="50" w:type="dxa"/>
              <w:left w:w="55" w:type="dxa"/>
              <w:bottom w:w="50" w:type="dxa"/>
              <w:right w:w="55" w:type="dxa"/>
            </w:tcMar>
          </w:tcPr>
          <w:p w14:paraId="64DEA8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Amstadt v. U.S. Brass Corp.</w:t>
            </w:r>
          </w:p>
        </w:tc>
        <w:tc>
          <w:tcPr>
            <w:tcW w:w="1152" w:type="dxa"/>
            <w:tcMar>
              <w:top w:w="50" w:type="dxa"/>
              <w:left w:w="55" w:type="dxa"/>
              <w:bottom w:w="50" w:type="dxa"/>
              <w:right w:w="55" w:type="dxa"/>
            </w:tcMar>
          </w:tcPr>
          <w:p w14:paraId="4CE3E3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tcMar>
              <w:top w:w="50" w:type="dxa"/>
              <w:left w:w="55" w:type="dxa"/>
              <w:bottom w:w="50" w:type="dxa"/>
              <w:right w:w="55" w:type="dxa"/>
            </w:tcMar>
          </w:tcPr>
          <w:p w14:paraId="5DADFB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1996</w:t>
            </w:r>
          </w:p>
        </w:tc>
        <w:tc>
          <w:tcPr>
            <w:tcW w:w="2088" w:type="dxa"/>
            <w:tcMar>
              <w:top w:w="50" w:type="dxa"/>
              <w:left w:w="55" w:type="dxa"/>
              <w:bottom w:w="50" w:type="dxa"/>
              <w:right w:w="55" w:type="dxa"/>
            </w:tcMar>
          </w:tcPr>
          <w:p w14:paraId="769C565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919 S.W.2d 644</w:t>
            </w:r>
          </w:p>
        </w:tc>
        <w:tc>
          <w:tcPr>
            <w:tcW w:w="4536" w:type="dxa"/>
            <w:tcMar>
              <w:top w:w="50" w:type="dxa"/>
              <w:left w:w="55" w:type="dxa"/>
              <w:bottom w:w="50" w:type="dxa"/>
              <w:right w:w="55" w:type="dxa"/>
            </w:tcMar>
          </w:tcPr>
          <w:p w14:paraId="66A82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DTPA claimant must be a consumer, prove a statutory violation and producing cause, and show the conduct was sufficiently connected with the consumer transaction.</w:t>
            </w:r>
          </w:p>
        </w:tc>
        <w:tc>
          <w:tcPr>
            <w:tcW w:w="3643" w:type="dxa"/>
            <w:tcMar>
              <w:top w:w="50" w:type="dxa"/>
              <w:left w:w="55" w:type="dxa"/>
              <w:bottom w:w="50" w:type="dxa"/>
              <w:right w:w="55" w:type="dxa"/>
            </w:tcMar>
          </w:tcPr>
          <w:p w14:paraId="5BBA96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acquisition proof, the communication or conduct, transaction nexus, reliance if required, and damages.</w:t>
            </w:r>
          </w:p>
        </w:tc>
      </w:tr>
      <w:tr w:rsidR="00756B19" w:rsidRPr="00566B6A" w14:paraId="157681C3" w14:textId="77777777">
        <w:trPr>
          <w:cantSplit/>
          <w:jc w:val="center"/>
        </w:trPr>
        <w:tc>
          <w:tcPr>
            <w:tcW w:w="2232" w:type="dxa"/>
            <w:shd w:val="clear" w:color="auto" w:fill="F7FAFC"/>
            <w:tcMar>
              <w:top w:w="50" w:type="dxa"/>
              <w:left w:w="55" w:type="dxa"/>
              <w:bottom w:w="50" w:type="dxa"/>
              <w:right w:w="55" w:type="dxa"/>
            </w:tcMar>
          </w:tcPr>
          <w:p w14:paraId="073BB3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Tony Gullo Motors I, L.P. v. Chapa</w:t>
            </w:r>
          </w:p>
        </w:tc>
        <w:tc>
          <w:tcPr>
            <w:tcW w:w="1152" w:type="dxa"/>
            <w:shd w:val="clear" w:color="auto" w:fill="F7FAFC"/>
            <w:tcMar>
              <w:top w:w="50" w:type="dxa"/>
              <w:left w:w="55" w:type="dxa"/>
              <w:bottom w:w="50" w:type="dxa"/>
              <w:right w:w="55" w:type="dxa"/>
            </w:tcMar>
          </w:tcPr>
          <w:p w14:paraId="185F132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shd w:val="clear" w:color="auto" w:fill="F7FAFC"/>
            <w:tcMar>
              <w:top w:w="50" w:type="dxa"/>
              <w:left w:w="55" w:type="dxa"/>
              <w:bottom w:w="50" w:type="dxa"/>
              <w:right w:w="55" w:type="dxa"/>
            </w:tcMar>
          </w:tcPr>
          <w:p w14:paraId="126E55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2DCA28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S.W.3d 299</w:t>
            </w:r>
          </w:p>
        </w:tc>
        <w:tc>
          <w:tcPr>
            <w:tcW w:w="4536" w:type="dxa"/>
            <w:shd w:val="clear" w:color="auto" w:fill="F7FAFC"/>
            <w:tcMar>
              <w:top w:w="50" w:type="dxa"/>
              <w:left w:w="55" w:type="dxa"/>
              <w:bottom w:w="50" w:type="dxa"/>
              <w:right w:w="55" w:type="dxa"/>
            </w:tcMar>
          </w:tcPr>
          <w:p w14:paraId="3F793C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claimant may elect the most favorable supported remedy; attorney’s fees must be segregated between recoverable and unrecoverable claims unless the work advances both inseparably.</w:t>
            </w:r>
          </w:p>
        </w:tc>
        <w:tc>
          <w:tcPr>
            <w:tcW w:w="3643" w:type="dxa"/>
            <w:shd w:val="clear" w:color="auto" w:fill="F7FAFC"/>
            <w:tcMar>
              <w:top w:w="50" w:type="dxa"/>
              <w:left w:w="55" w:type="dxa"/>
              <w:bottom w:w="50" w:type="dxa"/>
              <w:right w:w="55" w:type="dxa"/>
            </w:tcMar>
          </w:tcPr>
          <w:p w14:paraId="290A91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damages and fee records by claim and preserve knowledge, intent, offers, and time documentation.</w:t>
            </w:r>
          </w:p>
        </w:tc>
      </w:tr>
      <w:tr w:rsidR="00756B19" w:rsidRPr="00566B6A" w14:paraId="3CDDA759" w14:textId="77777777">
        <w:trPr>
          <w:cantSplit/>
          <w:jc w:val="center"/>
        </w:trPr>
        <w:tc>
          <w:tcPr>
            <w:tcW w:w="2232" w:type="dxa"/>
            <w:tcMar>
              <w:top w:w="50" w:type="dxa"/>
              <w:left w:w="55" w:type="dxa"/>
              <w:bottom w:w="50" w:type="dxa"/>
              <w:right w:w="55" w:type="dxa"/>
            </w:tcMar>
          </w:tcPr>
          <w:p w14:paraId="7E5CD0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McCaig v. Wells Fargo Bank (Texas), N.A.</w:t>
            </w:r>
          </w:p>
        </w:tc>
        <w:tc>
          <w:tcPr>
            <w:tcW w:w="1152" w:type="dxa"/>
            <w:tcMar>
              <w:top w:w="50" w:type="dxa"/>
              <w:left w:w="55" w:type="dxa"/>
              <w:bottom w:w="50" w:type="dxa"/>
              <w:right w:w="55" w:type="dxa"/>
            </w:tcMar>
          </w:tcPr>
          <w:p w14:paraId="49B50D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 (S.D. Tex.)</w:t>
            </w:r>
          </w:p>
        </w:tc>
        <w:tc>
          <w:tcPr>
            <w:tcW w:w="748" w:type="dxa"/>
            <w:tcMar>
              <w:top w:w="50" w:type="dxa"/>
              <w:left w:w="55" w:type="dxa"/>
              <w:bottom w:w="50" w:type="dxa"/>
              <w:right w:w="55" w:type="dxa"/>
            </w:tcMar>
          </w:tcPr>
          <w:p w14:paraId="41DFB62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3E5C155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788 F.3d 463</w:t>
            </w:r>
          </w:p>
        </w:tc>
        <w:tc>
          <w:tcPr>
            <w:tcW w:w="4536" w:type="dxa"/>
            <w:tcMar>
              <w:top w:w="50" w:type="dxa"/>
              <w:left w:w="55" w:type="dxa"/>
              <w:bottom w:w="50" w:type="dxa"/>
              <w:right w:w="55" w:type="dxa"/>
            </w:tcMar>
          </w:tcPr>
          <w:p w14:paraId="6DAA9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TDCA liability for an unlawful foreclosure threat, unauthorized fees, and debt-amount misrepresentations; § 392.304(a)(8) has no separate intent requirement.</w:t>
            </w:r>
          </w:p>
        </w:tc>
        <w:tc>
          <w:tcPr>
            <w:tcW w:w="3643" w:type="dxa"/>
            <w:tcMar>
              <w:top w:w="50" w:type="dxa"/>
              <w:left w:w="55" w:type="dxa"/>
              <w:bottom w:w="50" w:type="dxa"/>
              <w:right w:w="55" w:type="dxa"/>
            </w:tcMar>
          </w:tcPr>
          <w:p w14:paraId="4466F5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agreements, payments, notices, fee authority, account histories, disputes, harm, and fee records.</w:t>
            </w:r>
          </w:p>
        </w:tc>
      </w:tr>
    </w:tbl>
    <w:p w14:paraId="1E69DE65" w14:textId="77777777" w:rsidR="00756B19" w:rsidRPr="00566B6A" w:rsidRDefault="00756B19">
      <w:pPr>
        <w:spacing w:after="20"/>
        <w:rPr>
          <w:rFonts w:ascii="Courier New" w:hAnsi="Courier New" w:cs="Courier New"/>
          <w:sz w:val="22"/>
        </w:rPr>
      </w:pPr>
    </w:p>
    <w:p w14:paraId="5E859318"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4568E7B8"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648E5C2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44731E7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0F6569B8"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nationwide CRA and furnisher duties. Overlapping Texas Chapter 20 or other state claims may be preemption-sensitive.</w:t>
      </w:r>
    </w:p>
    <w:p w14:paraId="4095762F" w14:textId="77777777" w:rsidR="00964317" w:rsidRPr="00566B6A" w:rsidRDefault="00964317">
      <w:pPr>
        <w:spacing w:after="60"/>
        <w:rPr>
          <w:rFonts w:ascii="Courier New" w:hAnsi="Courier New" w:cs="Courier New"/>
          <w:sz w:val="22"/>
        </w:rPr>
      </w:pPr>
    </w:p>
    <w:p w14:paraId="40E3C7B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02C6D4F3" w14:textId="77777777">
        <w:trPr>
          <w:cantSplit/>
          <w:tblHeader/>
          <w:jc w:val="center"/>
        </w:trPr>
        <w:tc>
          <w:tcPr>
            <w:tcW w:w="2232" w:type="dxa"/>
            <w:shd w:val="clear" w:color="auto" w:fill="D9EAF7"/>
            <w:tcMar>
              <w:top w:w="55" w:type="dxa"/>
              <w:left w:w="55" w:type="dxa"/>
              <w:bottom w:w="55" w:type="dxa"/>
              <w:right w:w="55" w:type="dxa"/>
            </w:tcMar>
            <w:vAlign w:val="center"/>
          </w:tcPr>
          <w:p w14:paraId="7D71546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7FBFD19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Texas Authority</w:t>
            </w:r>
          </w:p>
        </w:tc>
        <w:tc>
          <w:tcPr>
            <w:tcW w:w="1080" w:type="dxa"/>
            <w:shd w:val="clear" w:color="auto" w:fill="D9EAF7"/>
            <w:tcMar>
              <w:top w:w="55" w:type="dxa"/>
              <w:left w:w="55" w:type="dxa"/>
              <w:bottom w:w="55" w:type="dxa"/>
              <w:right w:w="55" w:type="dxa"/>
            </w:tcMar>
            <w:vAlign w:val="center"/>
          </w:tcPr>
          <w:p w14:paraId="7CD8E73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282B4D4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2041437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3CC2D8B6" w14:textId="77777777">
        <w:trPr>
          <w:cantSplit/>
          <w:jc w:val="center"/>
        </w:trPr>
        <w:tc>
          <w:tcPr>
            <w:tcW w:w="2232" w:type="dxa"/>
            <w:tcMar>
              <w:top w:w="50" w:type="dxa"/>
              <w:left w:w="55" w:type="dxa"/>
              <w:bottom w:w="50" w:type="dxa"/>
              <w:right w:w="55" w:type="dxa"/>
            </w:tcMar>
          </w:tcPr>
          <w:p w14:paraId="20E42D2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6CA4A7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20.03, 20.06; FCRA</w:t>
            </w:r>
          </w:p>
        </w:tc>
        <w:tc>
          <w:tcPr>
            <w:tcW w:w="1080" w:type="dxa"/>
            <w:tcMar>
              <w:top w:w="50" w:type="dxa"/>
              <w:left w:w="55" w:type="dxa"/>
              <w:bottom w:w="50" w:type="dxa"/>
              <w:right w:w="55" w:type="dxa"/>
            </w:tcMar>
          </w:tcPr>
          <w:p w14:paraId="03AC80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0BD5C37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22B960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state and federal disputes; evaluate the exact duty and preemption.</w:t>
            </w:r>
          </w:p>
        </w:tc>
      </w:tr>
      <w:tr w:rsidR="00756B19" w:rsidRPr="00566B6A" w14:paraId="6F2F756B" w14:textId="77777777">
        <w:trPr>
          <w:cantSplit/>
          <w:jc w:val="center"/>
        </w:trPr>
        <w:tc>
          <w:tcPr>
            <w:tcW w:w="2232" w:type="dxa"/>
            <w:shd w:val="clear" w:color="auto" w:fill="F7FAFC"/>
            <w:tcMar>
              <w:top w:w="50" w:type="dxa"/>
              <w:left w:w="55" w:type="dxa"/>
              <w:bottom w:w="50" w:type="dxa"/>
              <w:right w:w="55" w:type="dxa"/>
            </w:tcMar>
          </w:tcPr>
          <w:p w14:paraId="1A0081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208269D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Texas law only for distinct conduct</w:t>
            </w:r>
          </w:p>
        </w:tc>
        <w:tc>
          <w:tcPr>
            <w:tcW w:w="1080" w:type="dxa"/>
            <w:shd w:val="clear" w:color="auto" w:fill="F7FAFC"/>
            <w:tcMar>
              <w:top w:w="50" w:type="dxa"/>
              <w:left w:w="55" w:type="dxa"/>
              <w:bottom w:w="50" w:type="dxa"/>
              <w:right w:w="55" w:type="dxa"/>
            </w:tcMar>
          </w:tcPr>
          <w:p w14:paraId="4622B77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3CE62F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65BBC2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separate collection or deceptive conduct.</w:t>
            </w:r>
          </w:p>
        </w:tc>
      </w:tr>
      <w:tr w:rsidR="00756B19" w:rsidRPr="00566B6A" w14:paraId="13A1E2E8" w14:textId="77777777">
        <w:trPr>
          <w:cantSplit/>
          <w:jc w:val="center"/>
        </w:trPr>
        <w:tc>
          <w:tcPr>
            <w:tcW w:w="2232" w:type="dxa"/>
            <w:tcMar>
              <w:top w:w="50" w:type="dxa"/>
              <w:left w:w="55" w:type="dxa"/>
              <w:bottom w:w="50" w:type="dxa"/>
              <w:right w:w="55" w:type="dxa"/>
            </w:tcMar>
          </w:tcPr>
          <w:p w14:paraId="0AB881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6350FB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ch. 521; Tex. Fin. Code § 392.308</w:t>
            </w:r>
          </w:p>
        </w:tc>
        <w:tc>
          <w:tcPr>
            <w:tcW w:w="1080" w:type="dxa"/>
            <w:tcMar>
              <w:top w:w="50" w:type="dxa"/>
              <w:left w:w="55" w:type="dxa"/>
              <w:bottom w:w="50" w:type="dxa"/>
              <w:right w:w="55" w:type="dxa"/>
            </w:tcMar>
          </w:tcPr>
          <w:p w14:paraId="34C6FE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512D3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4E043C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reports, victim orders, collector notices, freezes, and blocking requests.</w:t>
            </w:r>
          </w:p>
        </w:tc>
      </w:tr>
      <w:tr w:rsidR="00756B19" w:rsidRPr="00566B6A" w14:paraId="1994A543" w14:textId="77777777">
        <w:trPr>
          <w:cantSplit/>
          <w:jc w:val="center"/>
        </w:trPr>
        <w:tc>
          <w:tcPr>
            <w:tcW w:w="2232" w:type="dxa"/>
            <w:shd w:val="clear" w:color="auto" w:fill="F7FAFC"/>
            <w:tcMar>
              <w:top w:w="50" w:type="dxa"/>
              <w:left w:w="55" w:type="dxa"/>
              <w:bottom w:w="50" w:type="dxa"/>
              <w:right w:w="55" w:type="dxa"/>
            </w:tcMar>
          </w:tcPr>
          <w:p w14:paraId="448AA87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66D89F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Fin. Code §§ 392.301–392.304; DTPA</w:t>
            </w:r>
          </w:p>
        </w:tc>
        <w:tc>
          <w:tcPr>
            <w:tcW w:w="1080" w:type="dxa"/>
            <w:shd w:val="clear" w:color="auto" w:fill="F7FAFC"/>
            <w:tcMar>
              <w:top w:w="50" w:type="dxa"/>
              <w:left w:w="55" w:type="dxa"/>
              <w:bottom w:w="50" w:type="dxa"/>
              <w:right w:w="55" w:type="dxa"/>
            </w:tcMar>
          </w:tcPr>
          <w:p w14:paraId="03528D1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0FA91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77B944E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threats, harassment, charges, representations, dispute status, and damages.</w:t>
            </w:r>
          </w:p>
        </w:tc>
      </w:tr>
      <w:tr w:rsidR="00756B19" w:rsidRPr="00566B6A" w14:paraId="36D53959" w14:textId="77777777">
        <w:trPr>
          <w:cantSplit/>
          <w:jc w:val="center"/>
        </w:trPr>
        <w:tc>
          <w:tcPr>
            <w:tcW w:w="2232" w:type="dxa"/>
            <w:tcMar>
              <w:top w:w="50" w:type="dxa"/>
              <w:left w:w="55" w:type="dxa"/>
              <w:bottom w:w="50" w:type="dxa"/>
              <w:right w:w="55" w:type="dxa"/>
            </w:tcMar>
          </w:tcPr>
          <w:p w14:paraId="7694CB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4547A87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20.034–20.039; §§ 20.21–20.30</w:t>
            </w:r>
          </w:p>
        </w:tc>
        <w:tc>
          <w:tcPr>
            <w:tcW w:w="1080" w:type="dxa"/>
            <w:tcMar>
              <w:top w:w="50" w:type="dxa"/>
              <w:left w:w="55" w:type="dxa"/>
              <w:bottom w:w="50" w:type="dxa"/>
              <w:right w:w="55" w:type="dxa"/>
            </w:tcMar>
          </w:tcPr>
          <w:p w14:paraId="69164A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1737BA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4FF9A25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PIN, requests, timing, releases, notices, and damages.</w:t>
            </w:r>
          </w:p>
        </w:tc>
      </w:tr>
      <w:tr w:rsidR="00756B19" w:rsidRPr="00566B6A" w14:paraId="54F1D812" w14:textId="77777777">
        <w:trPr>
          <w:cantSplit/>
          <w:jc w:val="center"/>
        </w:trPr>
        <w:tc>
          <w:tcPr>
            <w:tcW w:w="2232" w:type="dxa"/>
            <w:shd w:val="clear" w:color="auto" w:fill="F7FAFC"/>
            <w:tcMar>
              <w:top w:w="50" w:type="dxa"/>
              <w:left w:w="55" w:type="dxa"/>
              <w:bottom w:w="50" w:type="dxa"/>
              <w:right w:w="55" w:type="dxa"/>
            </w:tcMar>
          </w:tcPr>
          <w:p w14:paraId="2D05D4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53A638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521.052–521.053; ch. 541</w:t>
            </w:r>
          </w:p>
        </w:tc>
        <w:tc>
          <w:tcPr>
            <w:tcW w:w="1080" w:type="dxa"/>
            <w:shd w:val="clear" w:color="auto" w:fill="F7FAFC"/>
            <w:tcMar>
              <w:top w:w="50" w:type="dxa"/>
              <w:left w:w="55" w:type="dxa"/>
              <w:bottom w:w="50" w:type="dxa"/>
              <w:right w:w="55" w:type="dxa"/>
            </w:tcMar>
          </w:tcPr>
          <w:p w14:paraId="2AC4A95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55A1A7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35994B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notices, dates, count, data, investigation, safeguards, and remediation.</w:t>
            </w:r>
          </w:p>
        </w:tc>
      </w:tr>
      <w:tr w:rsidR="00756B19" w:rsidRPr="00566B6A" w14:paraId="3E470A60" w14:textId="77777777">
        <w:trPr>
          <w:cantSplit/>
          <w:jc w:val="center"/>
        </w:trPr>
        <w:tc>
          <w:tcPr>
            <w:tcW w:w="2232" w:type="dxa"/>
            <w:tcMar>
              <w:top w:w="50" w:type="dxa"/>
              <w:left w:w="55" w:type="dxa"/>
              <w:bottom w:w="50" w:type="dxa"/>
              <w:right w:w="55" w:type="dxa"/>
            </w:tcMar>
          </w:tcPr>
          <w:p w14:paraId="5CFB065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deceptive practices</w:t>
            </w:r>
          </w:p>
        </w:tc>
        <w:tc>
          <w:tcPr>
            <w:tcW w:w="3096" w:type="dxa"/>
            <w:tcMar>
              <w:top w:w="50" w:type="dxa"/>
              <w:left w:w="55" w:type="dxa"/>
              <w:bottom w:w="50" w:type="dxa"/>
              <w:right w:w="55" w:type="dxa"/>
            </w:tcMar>
          </w:tcPr>
          <w:p w14:paraId="252E8B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Bus. &amp; Com. Code §§ 17.41–17.63</w:t>
            </w:r>
          </w:p>
        </w:tc>
        <w:tc>
          <w:tcPr>
            <w:tcW w:w="1080" w:type="dxa"/>
            <w:tcMar>
              <w:top w:w="50" w:type="dxa"/>
              <w:left w:w="55" w:type="dxa"/>
              <w:bottom w:w="50" w:type="dxa"/>
              <w:right w:w="55" w:type="dxa"/>
            </w:tcMar>
          </w:tcPr>
          <w:p w14:paraId="05AC5B3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40333E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08FBC8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consumer status, nexus, actionable conduct, cause, 60-day notice, and timing.</w:t>
            </w:r>
          </w:p>
        </w:tc>
      </w:tr>
    </w:tbl>
    <w:p w14:paraId="4665C9BC" w14:textId="77777777" w:rsidR="00756B19" w:rsidRPr="00566B6A" w:rsidRDefault="00756B19">
      <w:pPr>
        <w:spacing w:after="20"/>
        <w:rPr>
          <w:rFonts w:ascii="Courier New" w:hAnsi="Courier New" w:cs="Courier New"/>
          <w:sz w:val="22"/>
        </w:rPr>
      </w:pPr>
    </w:p>
    <w:p w14:paraId="49F9085D"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theft, distinct collection conduct, unauthorized charges or threats, freeze violations, breach duties, and DTPA conduct separate from CRA or furnisher reporting duties.</w:t>
      </w:r>
    </w:p>
    <w:p w14:paraId="71C2B42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claims duplicating federal accuracy, reinvestigation, furnishing, obsolescence, or blocking duties.</w:t>
      </w:r>
    </w:p>
    <w:p w14:paraId="5586D466"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308F33C8"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00C25AA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3B1B4CD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2 — </w:t>
      </w:r>
      <w:r w:rsidRPr="00566B6A">
        <w:rPr>
          <w:rFonts w:ascii="Courier New" w:hAnsi="Courier New" w:cs="Courier New"/>
          <w:sz w:val="22"/>
        </w:rPr>
        <w:t>Submit written CRA and furnisher disputes with proof of service, using certified mail or verifiable electronic proof.</w:t>
      </w:r>
    </w:p>
    <w:p w14:paraId="2160C8F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1909F19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2D85E322"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Texas Attorney General, OCCC, or another appropriate Texas regulator; retain confirmation numbers.</w:t>
      </w:r>
    </w:p>
    <w:p w14:paraId="04674873"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095326F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560B8F20"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47EA8F4" w14:textId="77777777" w:rsidR="00964317" w:rsidRPr="00566B6A" w:rsidRDefault="00964317">
      <w:pPr>
        <w:ind w:left="72"/>
        <w:rPr>
          <w:rFonts w:ascii="Courier New" w:hAnsi="Courier New" w:cs="Courier New"/>
          <w:sz w:val="22"/>
        </w:rPr>
      </w:pPr>
    </w:p>
    <w:p w14:paraId="5A244273"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3C161D41"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5E49FE97" w14:textId="77777777">
        <w:trPr>
          <w:cantSplit/>
          <w:tblHeader/>
          <w:jc w:val="center"/>
        </w:trPr>
        <w:tc>
          <w:tcPr>
            <w:tcW w:w="6048" w:type="dxa"/>
            <w:shd w:val="clear" w:color="auto" w:fill="D9EAF7"/>
            <w:tcMar>
              <w:top w:w="55" w:type="dxa"/>
              <w:left w:w="55" w:type="dxa"/>
              <w:bottom w:w="55" w:type="dxa"/>
              <w:right w:w="55" w:type="dxa"/>
            </w:tcMar>
            <w:vAlign w:val="center"/>
          </w:tcPr>
          <w:p w14:paraId="376D1A8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6F9FBE0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590E5E91" w14:textId="77777777">
        <w:trPr>
          <w:cantSplit/>
          <w:jc w:val="center"/>
        </w:trPr>
        <w:tc>
          <w:tcPr>
            <w:tcW w:w="6048" w:type="dxa"/>
            <w:tcMar>
              <w:top w:w="50" w:type="dxa"/>
              <w:left w:w="55" w:type="dxa"/>
              <w:bottom w:w="50" w:type="dxa"/>
              <w:right w:w="55" w:type="dxa"/>
            </w:tcMar>
          </w:tcPr>
          <w:p w14:paraId="57B8BD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655DC2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3D83A92A" w14:textId="77777777">
        <w:trPr>
          <w:cantSplit/>
          <w:jc w:val="center"/>
        </w:trPr>
        <w:tc>
          <w:tcPr>
            <w:tcW w:w="6048" w:type="dxa"/>
            <w:shd w:val="clear" w:color="auto" w:fill="F7FAFC"/>
            <w:tcMar>
              <w:top w:w="50" w:type="dxa"/>
              <w:left w:w="55" w:type="dxa"/>
              <w:bottom w:w="50" w:type="dxa"/>
              <w:right w:w="55" w:type="dxa"/>
            </w:tcMar>
          </w:tcPr>
          <w:p w14:paraId="174EC7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4452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AA3D3A6" w14:textId="77777777">
        <w:trPr>
          <w:cantSplit/>
          <w:jc w:val="center"/>
        </w:trPr>
        <w:tc>
          <w:tcPr>
            <w:tcW w:w="6048" w:type="dxa"/>
            <w:tcMar>
              <w:top w:w="50" w:type="dxa"/>
              <w:left w:w="55" w:type="dxa"/>
              <w:bottom w:w="50" w:type="dxa"/>
              <w:right w:w="55" w:type="dxa"/>
            </w:tcMar>
          </w:tcPr>
          <w:p w14:paraId="7EFD74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5C5A98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300C53A8" w14:textId="77777777">
        <w:trPr>
          <w:cantSplit/>
          <w:jc w:val="center"/>
        </w:trPr>
        <w:tc>
          <w:tcPr>
            <w:tcW w:w="6048" w:type="dxa"/>
            <w:shd w:val="clear" w:color="auto" w:fill="F7FAFC"/>
            <w:tcMar>
              <w:top w:w="50" w:type="dxa"/>
              <w:left w:w="55" w:type="dxa"/>
              <w:bottom w:w="50" w:type="dxa"/>
              <w:right w:w="55" w:type="dxa"/>
            </w:tcMar>
          </w:tcPr>
          <w:p w14:paraId="19FB5A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Texas AG / OCCC / financial-regulator complaint + agency ID</w:t>
            </w:r>
          </w:p>
        </w:tc>
        <w:tc>
          <w:tcPr>
            <w:tcW w:w="8352" w:type="dxa"/>
            <w:shd w:val="clear" w:color="auto" w:fill="F7FAFC"/>
            <w:tcMar>
              <w:top w:w="50" w:type="dxa"/>
              <w:left w:w="55" w:type="dxa"/>
              <w:bottom w:w="50" w:type="dxa"/>
              <w:right w:w="55" w:type="dxa"/>
            </w:tcMar>
          </w:tcPr>
          <w:p w14:paraId="5ACAC59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4704CD96" w14:textId="77777777">
        <w:trPr>
          <w:cantSplit/>
          <w:jc w:val="center"/>
        </w:trPr>
        <w:tc>
          <w:tcPr>
            <w:tcW w:w="6048" w:type="dxa"/>
            <w:tcMar>
              <w:top w:w="50" w:type="dxa"/>
              <w:left w:w="55" w:type="dxa"/>
              <w:bottom w:w="50" w:type="dxa"/>
              <w:right w:w="55" w:type="dxa"/>
            </w:tcMar>
          </w:tcPr>
          <w:p w14:paraId="63F227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5BD9A1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27AB30B0" w14:textId="77777777">
        <w:trPr>
          <w:cantSplit/>
          <w:jc w:val="center"/>
        </w:trPr>
        <w:tc>
          <w:tcPr>
            <w:tcW w:w="6048" w:type="dxa"/>
            <w:shd w:val="clear" w:color="auto" w:fill="F7FAFC"/>
            <w:tcMar>
              <w:top w:w="50" w:type="dxa"/>
              <w:left w:w="55" w:type="dxa"/>
              <w:bottom w:w="50" w:type="dxa"/>
              <w:right w:w="55" w:type="dxa"/>
            </w:tcMar>
          </w:tcPr>
          <w:p w14:paraId="1E4FC71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7596724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10329B65" w14:textId="77777777">
        <w:trPr>
          <w:cantSplit/>
          <w:jc w:val="center"/>
        </w:trPr>
        <w:tc>
          <w:tcPr>
            <w:tcW w:w="6048" w:type="dxa"/>
            <w:tcMar>
              <w:top w:w="50" w:type="dxa"/>
              <w:left w:w="55" w:type="dxa"/>
              <w:bottom w:w="50" w:type="dxa"/>
              <w:right w:w="55" w:type="dxa"/>
            </w:tcMar>
          </w:tcPr>
          <w:p w14:paraId="6D77A59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Texas DTPA notice + delivery proof + limitations record</w:t>
            </w:r>
          </w:p>
        </w:tc>
        <w:tc>
          <w:tcPr>
            <w:tcW w:w="8352" w:type="dxa"/>
            <w:tcMar>
              <w:top w:w="50" w:type="dxa"/>
              <w:left w:w="55" w:type="dxa"/>
              <w:bottom w:w="50" w:type="dxa"/>
              <w:right w:w="55" w:type="dxa"/>
            </w:tcMar>
          </w:tcPr>
          <w:p w14:paraId="221810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status, transaction nexus, actionable practice, producing cause, damages, 60-day notice, and two-year timing</w:t>
            </w:r>
          </w:p>
        </w:tc>
      </w:tr>
    </w:tbl>
    <w:p w14:paraId="008038E1" w14:textId="77777777" w:rsidR="00756B19" w:rsidRPr="00566B6A" w:rsidRDefault="00756B19">
      <w:pPr>
        <w:spacing w:after="20"/>
        <w:rPr>
          <w:rFonts w:ascii="Courier New" w:hAnsi="Courier New" w:cs="Courier New"/>
          <w:sz w:val="22"/>
        </w:rPr>
      </w:pPr>
    </w:p>
    <w:p w14:paraId="5212B248"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324E43E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7F8EFE3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2BBC021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66A7F7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54D0D0F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9ED470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Texas DTPA 60-day written notice when a qualifying consumer transaction and claimed damages are documented</w:t>
      </w:r>
    </w:p>
    <w:p w14:paraId="4ECBCE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BB1C2B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6D87673A"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7E90156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7891071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Texas (TX)</w:t>
      </w:r>
    </w:p>
    <w:p w14:paraId="6EC93FD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39A2F02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DTPA | Tex. Bus. &amp; Com. Code §§ 17.41–17.63 | Remedies: economic damages, qualifying mental-anguish/additional damages, costs, fees, and AG relief. | Authority: AG / courts.</w:t>
      </w:r>
    </w:p>
    <w:p w14:paraId="3AE3C1F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Debt Collection Act | Tex. Fin. Code §§ 392.001–392.404 | Remedies: injunction, actual damages, fees, costs, specified minimum relief, AG action, and DTPA treatment. | Authority: AG / courts.</w:t>
      </w:r>
    </w:p>
    <w:p w14:paraId="4E93EF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Consumer Reporting and Freeze Law | Tex. Bus. &amp; Com. Code ch. 20 | Remedies: disclosure, dispute, alert and freeze procedures; AG penalties; DTPA treatment. | Authority: AG / CRAs / courts.</w:t>
      </w:r>
    </w:p>
    <w:p w14:paraId="1C61713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Identity Theft and Breach Law | Tex. Bus. &amp; Com. Code §§ 521.001–521.152 | Remedies: victim orders, record correction, AG penalties/injunctions, and DTPA treatment. | Authority: AG / courts.</w:t>
      </w:r>
    </w:p>
    <w:p w14:paraId="61421ED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Identity-Theft Offense and Victim Procedures | Tex. Penal Code § 32.51; Tex. Bus. &amp; Com. Code §§ 521.101–521.105 | Remedies: criminal enforcement, restitution where ordered, and sealed victim orders. | Authority: law enforcement / courts.</w:t>
      </w:r>
    </w:p>
    <w:p w14:paraId="40A68E6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0B1C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administrative rules — verify the current OCCC or other regulator citation before relying on it.</w:t>
      </w:r>
    </w:p>
    <w:p w14:paraId="500E785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562B3A7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Attorney General — Consumer Protection Division: complaint and enforcement guidance.</w:t>
      </w:r>
    </w:p>
    <w:p w14:paraId="536F663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Office of Consumer Credit Commissioner: complaint and licensing guidance.</w:t>
      </w:r>
    </w:p>
    <w:p w14:paraId="73B1042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Texas financial regulators: complaint pathways for entities within their jurisdiction.</w:t>
      </w:r>
    </w:p>
    <w:p w14:paraId="68FA150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5D058FEC"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Texas without municipal verification.</w:t>
      </w:r>
    </w:p>
    <w:p w14:paraId="396F3D88" w14:textId="77777777" w:rsidR="00964317" w:rsidRPr="00566B6A" w:rsidRDefault="00964317">
      <w:pPr>
        <w:spacing w:after="60"/>
        <w:rPr>
          <w:rFonts w:ascii="Courier New" w:hAnsi="Courier New" w:cs="Courier New"/>
          <w:sz w:val="22"/>
        </w:rPr>
      </w:pPr>
    </w:p>
    <w:p w14:paraId="7B985A5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797338A" w14:textId="77777777">
        <w:trPr>
          <w:cantSplit/>
          <w:tblHeader/>
          <w:jc w:val="center"/>
        </w:trPr>
        <w:tc>
          <w:tcPr>
            <w:tcW w:w="2232" w:type="dxa"/>
            <w:shd w:val="clear" w:color="auto" w:fill="D9EAF7"/>
            <w:tcMar>
              <w:top w:w="55" w:type="dxa"/>
              <w:left w:w="55" w:type="dxa"/>
              <w:bottom w:w="55" w:type="dxa"/>
              <w:right w:w="55" w:type="dxa"/>
            </w:tcMar>
            <w:vAlign w:val="center"/>
          </w:tcPr>
          <w:p w14:paraId="1ECF27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C302BE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F11CD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5911463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6BF281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6E719CB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BAEA5C9" w14:textId="77777777">
        <w:trPr>
          <w:cantSplit/>
          <w:jc w:val="center"/>
        </w:trPr>
        <w:tc>
          <w:tcPr>
            <w:tcW w:w="2232" w:type="dxa"/>
            <w:tcMar>
              <w:top w:w="50" w:type="dxa"/>
              <w:left w:w="55" w:type="dxa"/>
              <w:bottom w:w="50" w:type="dxa"/>
              <w:right w:w="55" w:type="dxa"/>
            </w:tcMar>
          </w:tcPr>
          <w:p w14:paraId="1EA0FB3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Amstadt v. U.S. Brass Corp.</w:t>
            </w:r>
          </w:p>
        </w:tc>
        <w:tc>
          <w:tcPr>
            <w:tcW w:w="1152" w:type="dxa"/>
            <w:tcMar>
              <w:top w:w="50" w:type="dxa"/>
              <w:left w:w="55" w:type="dxa"/>
              <w:bottom w:w="50" w:type="dxa"/>
              <w:right w:w="55" w:type="dxa"/>
            </w:tcMar>
          </w:tcPr>
          <w:p w14:paraId="20D15A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tcMar>
              <w:top w:w="50" w:type="dxa"/>
              <w:left w:w="55" w:type="dxa"/>
              <w:bottom w:w="50" w:type="dxa"/>
              <w:right w:w="55" w:type="dxa"/>
            </w:tcMar>
          </w:tcPr>
          <w:p w14:paraId="1A80F0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1996</w:t>
            </w:r>
          </w:p>
        </w:tc>
        <w:tc>
          <w:tcPr>
            <w:tcW w:w="2088" w:type="dxa"/>
            <w:tcMar>
              <w:top w:w="50" w:type="dxa"/>
              <w:left w:w="55" w:type="dxa"/>
              <w:bottom w:w="50" w:type="dxa"/>
              <w:right w:w="55" w:type="dxa"/>
            </w:tcMar>
          </w:tcPr>
          <w:p w14:paraId="5F8D58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919 S.W.2d 644</w:t>
            </w:r>
          </w:p>
        </w:tc>
        <w:tc>
          <w:tcPr>
            <w:tcW w:w="4536" w:type="dxa"/>
            <w:tcMar>
              <w:top w:w="50" w:type="dxa"/>
              <w:left w:w="55" w:type="dxa"/>
              <w:bottom w:w="50" w:type="dxa"/>
              <w:right w:w="55" w:type="dxa"/>
            </w:tcMar>
          </w:tcPr>
          <w:p w14:paraId="4C999D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DTPA claimant must be a consumer, prove a statutory violation and producing cause, and show the conduct was sufficiently connected with the consumer transaction.</w:t>
            </w:r>
          </w:p>
        </w:tc>
        <w:tc>
          <w:tcPr>
            <w:tcW w:w="3643" w:type="dxa"/>
            <w:tcMar>
              <w:top w:w="50" w:type="dxa"/>
              <w:left w:w="55" w:type="dxa"/>
              <w:bottom w:w="50" w:type="dxa"/>
              <w:right w:w="55" w:type="dxa"/>
            </w:tcMar>
          </w:tcPr>
          <w:p w14:paraId="3C3EAE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acquisition proof, the communication or conduct, transaction nexus, reliance if required, and damages.</w:t>
            </w:r>
          </w:p>
        </w:tc>
      </w:tr>
      <w:tr w:rsidR="00756B19" w:rsidRPr="00566B6A" w14:paraId="1E23615C" w14:textId="77777777">
        <w:trPr>
          <w:cantSplit/>
          <w:jc w:val="center"/>
        </w:trPr>
        <w:tc>
          <w:tcPr>
            <w:tcW w:w="2232" w:type="dxa"/>
            <w:shd w:val="clear" w:color="auto" w:fill="F7FAFC"/>
            <w:tcMar>
              <w:top w:w="50" w:type="dxa"/>
              <w:left w:w="55" w:type="dxa"/>
              <w:bottom w:w="50" w:type="dxa"/>
              <w:right w:w="55" w:type="dxa"/>
            </w:tcMar>
          </w:tcPr>
          <w:p w14:paraId="061AEB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Tony Gullo Motors I, L.P. v. Chapa</w:t>
            </w:r>
          </w:p>
        </w:tc>
        <w:tc>
          <w:tcPr>
            <w:tcW w:w="1152" w:type="dxa"/>
            <w:shd w:val="clear" w:color="auto" w:fill="F7FAFC"/>
            <w:tcMar>
              <w:top w:w="50" w:type="dxa"/>
              <w:left w:w="55" w:type="dxa"/>
              <w:bottom w:w="50" w:type="dxa"/>
              <w:right w:w="55" w:type="dxa"/>
            </w:tcMar>
          </w:tcPr>
          <w:p w14:paraId="51BB4C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Tex. Sup. Ct.</w:t>
            </w:r>
          </w:p>
        </w:tc>
        <w:tc>
          <w:tcPr>
            <w:tcW w:w="748" w:type="dxa"/>
            <w:shd w:val="clear" w:color="auto" w:fill="F7FAFC"/>
            <w:tcMar>
              <w:top w:w="50" w:type="dxa"/>
              <w:left w:w="55" w:type="dxa"/>
              <w:bottom w:w="50" w:type="dxa"/>
              <w:right w:w="55" w:type="dxa"/>
            </w:tcMar>
          </w:tcPr>
          <w:p w14:paraId="196E9EC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43CD00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S.W.3d 299</w:t>
            </w:r>
          </w:p>
        </w:tc>
        <w:tc>
          <w:tcPr>
            <w:tcW w:w="4536" w:type="dxa"/>
            <w:shd w:val="clear" w:color="auto" w:fill="F7FAFC"/>
            <w:tcMar>
              <w:top w:w="50" w:type="dxa"/>
              <w:left w:w="55" w:type="dxa"/>
              <w:bottom w:w="50" w:type="dxa"/>
              <w:right w:w="55" w:type="dxa"/>
            </w:tcMar>
          </w:tcPr>
          <w:p w14:paraId="2A930C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claimant may elect the most favorable supported remedy; attorney’s fees must be segregated between recoverable and unrecoverable claims unless the work advances both inseparably.</w:t>
            </w:r>
          </w:p>
        </w:tc>
        <w:tc>
          <w:tcPr>
            <w:tcW w:w="3643" w:type="dxa"/>
            <w:shd w:val="clear" w:color="auto" w:fill="F7FAFC"/>
            <w:tcMar>
              <w:top w:w="50" w:type="dxa"/>
              <w:left w:w="55" w:type="dxa"/>
              <w:bottom w:w="50" w:type="dxa"/>
              <w:right w:w="55" w:type="dxa"/>
            </w:tcMar>
          </w:tcPr>
          <w:p w14:paraId="6656771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damages and fee records by claim and preserve knowledge, intent, offers, and time documentation.</w:t>
            </w:r>
          </w:p>
        </w:tc>
      </w:tr>
      <w:tr w:rsidR="00756B19" w:rsidRPr="00566B6A" w14:paraId="2F33681F" w14:textId="77777777">
        <w:trPr>
          <w:cantSplit/>
          <w:jc w:val="center"/>
        </w:trPr>
        <w:tc>
          <w:tcPr>
            <w:tcW w:w="2232" w:type="dxa"/>
            <w:tcMar>
              <w:top w:w="50" w:type="dxa"/>
              <w:left w:w="55" w:type="dxa"/>
              <w:bottom w:w="50" w:type="dxa"/>
              <w:right w:w="55" w:type="dxa"/>
            </w:tcMar>
          </w:tcPr>
          <w:p w14:paraId="4E5ABC2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McCaig v. Wells Fargo Bank (Texas), N.A.</w:t>
            </w:r>
          </w:p>
        </w:tc>
        <w:tc>
          <w:tcPr>
            <w:tcW w:w="1152" w:type="dxa"/>
            <w:tcMar>
              <w:top w:w="50" w:type="dxa"/>
              <w:left w:w="55" w:type="dxa"/>
              <w:bottom w:w="50" w:type="dxa"/>
              <w:right w:w="55" w:type="dxa"/>
            </w:tcMar>
          </w:tcPr>
          <w:p w14:paraId="09F0BA5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 (S.D. Tex.)</w:t>
            </w:r>
          </w:p>
        </w:tc>
        <w:tc>
          <w:tcPr>
            <w:tcW w:w="748" w:type="dxa"/>
            <w:tcMar>
              <w:top w:w="50" w:type="dxa"/>
              <w:left w:w="55" w:type="dxa"/>
              <w:bottom w:w="50" w:type="dxa"/>
              <w:right w:w="55" w:type="dxa"/>
            </w:tcMar>
          </w:tcPr>
          <w:p w14:paraId="7329B9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22B1F3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788 F.3d 463</w:t>
            </w:r>
          </w:p>
        </w:tc>
        <w:tc>
          <w:tcPr>
            <w:tcW w:w="4536" w:type="dxa"/>
            <w:tcMar>
              <w:top w:w="50" w:type="dxa"/>
              <w:left w:w="55" w:type="dxa"/>
              <w:bottom w:w="50" w:type="dxa"/>
              <w:right w:w="55" w:type="dxa"/>
            </w:tcMar>
          </w:tcPr>
          <w:p w14:paraId="1FCADA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TDCA liability for an unlawful foreclosure threat, unauthorized fees, and debt-amount misrepresentations; § 392.304(a)(8) has no separate intent requirement.</w:t>
            </w:r>
          </w:p>
        </w:tc>
        <w:tc>
          <w:tcPr>
            <w:tcW w:w="3643" w:type="dxa"/>
            <w:tcMar>
              <w:top w:w="50" w:type="dxa"/>
              <w:left w:w="55" w:type="dxa"/>
              <w:bottom w:w="50" w:type="dxa"/>
              <w:right w:w="55" w:type="dxa"/>
            </w:tcMar>
          </w:tcPr>
          <w:p w14:paraId="44348D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agreements, payments, notices, fee authority, account histories, disputes, harm, and fee records.</w:t>
            </w:r>
          </w:p>
        </w:tc>
      </w:tr>
    </w:tbl>
    <w:p w14:paraId="622E4B5F" w14:textId="77777777" w:rsidR="00756B19" w:rsidRPr="00566B6A" w:rsidRDefault="00756B19">
      <w:pPr>
        <w:spacing w:after="20"/>
        <w:rPr>
          <w:rFonts w:ascii="Courier New" w:hAnsi="Courier New" w:cs="Courier New"/>
          <w:sz w:val="22"/>
        </w:rPr>
      </w:pPr>
    </w:p>
    <w:p w14:paraId="250E5AB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32BC260F"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TK-Authority-2026-07-TX</w:t>
      </w:r>
    </w:p>
    <w:p w14:paraId="770CCAAA"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40C7C4F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TX</w:t>
      </w:r>
    </w:p>
    <w:p w14:paraId="4ADBC5BE"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Texas statutes, appellate cases, and federal FCRA materials were checked against sources available July 24, 2026.</w:t>
      </w:r>
    </w:p>
    <w:p w14:paraId="6C3DE29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1D2A89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03DC96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407FE35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05415D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37B6136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5F12ED92"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federal and Texas authority library. Authorities may change. It is educational and informational only and is not legal advice or representation.</w:t>
      </w:r>
    </w:p>
    <w:p w14:paraId="7430D8BF"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10F808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657E88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Texas administrative rule citation by agency, title, part, chapter, and section.</w:t>
      </w:r>
    </w:p>
    <w:p w14:paraId="457F640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432DE94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35AA56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7892AA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443528C5"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4669F5F1" w14:textId="77777777" w:rsidR="00BD7EED" w:rsidRDefault="00BD7EED">
      <w:pPr>
        <w:keepLines/>
        <w:spacing w:before="40" w:after="0"/>
        <w:rPr>
          <w:rFonts w:ascii="Courier New" w:hAnsi="Courier New" w:cs="Courier New"/>
          <w:i/>
          <w:color w:val="464646"/>
          <w:sz w:val="22"/>
        </w:rPr>
      </w:pPr>
    </w:p>
    <w:p w14:paraId="6A0CF95D" w14:textId="77777777" w:rsidR="00BD7EED" w:rsidRDefault="00BD7EED">
      <w:pPr>
        <w:keepLines/>
        <w:spacing w:before="40" w:after="0"/>
        <w:rPr>
          <w:rFonts w:ascii="Courier New" w:hAnsi="Courier New" w:cs="Courier New"/>
          <w:i/>
          <w:color w:val="464646"/>
          <w:sz w:val="22"/>
        </w:rPr>
      </w:pPr>
    </w:p>
    <w:p w14:paraId="0EC74452" w14:textId="77777777" w:rsidR="00BD7EED" w:rsidRDefault="00BD7EED">
      <w:pPr>
        <w:keepLines/>
        <w:spacing w:before="40" w:after="0"/>
        <w:rPr>
          <w:rFonts w:ascii="Courier New" w:hAnsi="Courier New" w:cs="Courier New"/>
          <w:i/>
          <w:color w:val="464646"/>
          <w:sz w:val="22"/>
        </w:rPr>
      </w:pPr>
    </w:p>
    <w:p w14:paraId="0D94C7F9" w14:textId="77777777" w:rsidR="00BD7EED" w:rsidRDefault="00BD7EED">
      <w:pPr>
        <w:keepLines/>
        <w:spacing w:before="40" w:after="0"/>
        <w:rPr>
          <w:rFonts w:ascii="Courier New" w:hAnsi="Courier New" w:cs="Courier New"/>
          <w:i/>
          <w:color w:val="464646"/>
          <w:sz w:val="22"/>
        </w:rPr>
      </w:pPr>
    </w:p>
    <w:p w14:paraId="1FC84831" w14:textId="77777777" w:rsidR="00BD7EED" w:rsidRDefault="00BD7EED">
      <w:pPr>
        <w:keepLines/>
        <w:spacing w:before="40" w:after="0"/>
        <w:rPr>
          <w:rFonts w:ascii="Courier New" w:hAnsi="Courier New" w:cs="Courier New"/>
          <w:i/>
          <w:color w:val="464646"/>
          <w:sz w:val="22"/>
        </w:rPr>
      </w:pPr>
    </w:p>
    <w:p w14:paraId="61864422" w14:textId="77777777" w:rsidR="00BD7EED" w:rsidRDefault="00BD7EED">
      <w:pPr>
        <w:keepLines/>
        <w:spacing w:before="40" w:after="0"/>
        <w:rPr>
          <w:rFonts w:ascii="Courier New" w:hAnsi="Courier New" w:cs="Courier New"/>
          <w:i/>
          <w:color w:val="464646"/>
          <w:sz w:val="22"/>
        </w:rPr>
      </w:pPr>
    </w:p>
    <w:p w14:paraId="76F0BF5D" w14:textId="77777777" w:rsidR="00BD7EED" w:rsidRDefault="00BD7EED">
      <w:pPr>
        <w:keepLines/>
        <w:spacing w:before="40" w:after="0"/>
        <w:rPr>
          <w:rFonts w:ascii="Courier New" w:hAnsi="Courier New" w:cs="Courier New"/>
          <w:i/>
          <w:color w:val="464646"/>
          <w:sz w:val="22"/>
        </w:rPr>
      </w:pPr>
    </w:p>
    <w:p w14:paraId="0CEA4C06" w14:textId="77777777" w:rsidR="00BD7EED" w:rsidRDefault="00BD7EED">
      <w:pPr>
        <w:keepLines/>
        <w:spacing w:before="40" w:after="0"/>
        <w:rPr>
          <w:rFonts w:ascii="Courier New" w:hAnsi="Courier New" w:cs="Courier New"/>
          <w:i/>
          <w:color w:val="464646"/>
          <w:sz w:val="22"/>
        </w:rPr>
      </w:pPr>
    </w:p>
    <w:p w14:paraId="137331C3" w14:textId="77777777" w:rsidR="00BD7EED" w:rsidRDefault="00BD7EED">
      <w:pPr>
        <w:keepLines/>
        <w:spacing w:before="40" w:after="0"/>
        <w:rPr>
          <w:rFonts w:ascii="Courier New" w:hAnsi="Courier New" w:cs="Courier New"/>
          <w:i/>
          <w:color w:val="464646"/>
          <w:sz w:val="22"/>
        </w:rPr>
      </w:pPr>
    </w:p>
    <w:p w14:paraId="4548C66E" w14:textId="77777777" w:rsidR="00BD7EED" w:rsidRDefault="00BD7EED">
      <w:pPr>
        <w:keepLines/>
        <w:spacing w:before="40" w:after="0"/>
        <w:rPr>
          <w:rFonts w:ascii="Courier New" w:hAnsi="Courier New" w:cs="Courier New"/>
          <w:i/>
          <w:color w:val="464646"/>
          <w:sz w:val="22"/>
        </w:rPr>
      </w:pPr>
    </w:p>
    <w:p w14:paraId="13F13378" w14:textId="77777777" w:rsidR="00BD7EED" w:rsidRDefault="00BD7EED">
      <w:pPr>
        <w:keepLines/>
        <w:spacing w:before="40" w:after="0"/>
        <w:rPr>
          <w:rFonts w:ascii="Courier New" w:hAnsi="Courier New" w:cs="Courier New"/>
          <w:i/>
          <w:color w:val="464646"/>
          <w:sz w:val="22"/>
        </w:rPr>
      </w:pPr>
    </w:p>
    <w:p w14:paraId="27503D57" w14:textId="77777777" w:rsidR="00BD7EED" w:rsidRDefault="00BD7EED">
      <w:pPr>
        <w:keepLines/>
        <w:spacing w:before="40" w:after="0"/>
        <w:rPr>
          <w:rFonts w:ascii="Courier New" w:hAnsi="Courier New" w:cs="Courier New"/>
          <w:i/>
          <w:color w:val="464646"/>
          <w:sz w:val="22"/>
        </w:rPr>
      </w:pPr>
    </w:p>
    <w:p w14:paraId="4C4DF5AA" w14:textId="77777777" w:rsidR="00BD7EED" w:rsidRDefault="00BD7EED">
      <w:pPr>
        <w:keepLines/>
        <w:spacing w:before="40" w:after="0"/>
        <w:rPr>
          <w:rFonts w:ascii="Courier New" w:hAnsi="Courier New" w:cs="Courier New"/>
          <w:i/>
          <w:color w:val="464646"/>
          <w:sz w:val="22"/>
        </w:rPr>
      </w:pPr>
    </w:p>
    <w:p w14:paraId="65D66A66" w14:textId="77777777" w:rsidR="00BD7EED" w:rsidRPr="00566B6A" w:rsidRDefault="00BD7EED">
      <w:pPr>
        <w:keepLines/>
        <w:spacing w:before="40" w:after="0"/>
        <w:rPr>
          <w:rFonts w:ascii="Courier New" w:hAnsi="Courier New" w:cs="Courier New"/>
          <w:sz w:val="22"/>
        </w:rPr>
      </w:pPr>
    </w:p>
    <w:p w14:paraId="6DBCBD9E" w14:textId="77777777" w:rsidR="005A486F" w:rsidRDefault="00D67441">
      <w:r>
        <w:br w:type="page"/>
      </w:r>
    </w:p>
    <w:p w14:paraId="7CC34C2F" w14:textId="77777777" w:rsidR="005A486F" w:rsidRDefault="00D67441">
      <w:r>
        <w:rPr>
          <w:color w:val="FFFFFF"/>
          <w:sz w:val="2"/>
        </w:rPr>
        <w:lastRenderedPageBreak/>
        <w:t> </w:t>
      </w:r>
    </w:p>
    <w:sectPr w:rsidR="005A486F"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8A26" w14:textId="77777777" w:rsidR="00D67441" w:rsidRDefault="00D67441">
      <w:pPr>
        <w:spacing w:after="0" w:line="240" w:lineRule="auto"/>
      </w:pPr>
      <w:r>
        <w:separator/>
      </w:r>
    </w:p>
  </w:endnote>
  <w:endnote w:type="continuationSeparator" w:id="0">
    <w:p w14:paraId="27A587CB" w14:textId="77777777" w:rsidR="00D67441" w:rsidRDefault="00D6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9828"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B3B7" w14:textId="77777777" w:rsidR="00D67441" w:rsidRDefault="00D67441">
      <w:pPr>
        <w:spacing w:after="0" w:line="240" w:lineRule="auto"/>
      </w:pPr>
      <w:r>
        <w:separator/>
      </w:r>
    </w:p>
  </w:footnote>
  <w:footnote w:type="continuationSeparator" w:id="0">
    <w:p w14:paraId="31F4970C" w14:textId="77777777" w:rsidR="00D67441" w:rsidRDefault="00D6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1464" w14:textId="77777777" w:rsidR="00756B19" w:rsidRDefault="00F247EE">
    <w:pPr>
      <w:pStyle w:val="Header"/>
      <w:jc w:val="right"/>
    </w:pPr>
    <w:r>
      <w:rPr>
        <w:b/>
        <w:color w:val="505050"/>
        <w:sz w:val="15"/>
      </w:rPr>
      <w:t>GLADIC AI™ — SECTION 3A | TEXAS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5A486F"/>
    <w:rsid w:val="00655F05"/>
    <w:rsid w:val="006F27AD"/>
    <w:rsid w:val="00736F61"/>
    <w:rsid w:val="00756B19"/>
    <w:rsid w:val="00964317"/>
    <w:rsid w:val="00AA1D8D"/>
    <w:rsid w:val="00B47730"/>
    <w:rsid w:val="00BD7EED"/>
    <w:rsid w:val="00C91E73"/>
    <w:rsid w:val="00CB0664"/>
    <w:rsid w:val="00D67441"/>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DF462"/>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2026-07-24T20:27:00Z</dcterms:created>
  <dcterms:modified xsi:type="dcterms:W3CDTF">2026-07-24T20:27:00Z</dcterms:modified>
  <cp:category/>
</cp:coreProperties>
</file>