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U.S. Virgin Islands (VI)</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Virgin Islands Consumer Protection Law of 1973 (CPL)</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12A V.I.C. §§ 101 through 110</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deceptive or unconscionable trade practices in the sale, lease, rental, or loan of consumer goods or services, extensions of consumer credit, and collection of consumer debts. Deceptive practices include representations having the capacity, tendency, or effect of misleading consumers.</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consumer may seek declaratory or injunctive relief and may recover actual damages or $250, whichever is greater. Class remedies, trebling of specified damages, and attorney’s fees may be available under statutory conditions. DLCA may impose fines, seek injunctions, restitution, and license-related relief. See 12A V.I.C. §§ 104–108.</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Expressly recognized under 12A V.I.C. § 108. A consumer must document consumer status, a covered deceptive or unconscionable practice, resulting loss for damages, and timely filing. Section 108(j) applies a two-year limitation period measured from the occurrence of the violation, subject to legally recognized tolling.</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Territorial enforcement: Department of Licensing and Consumer Affairs (DLCA), under 3 V.I.C. §§ 270–272 and 12A V.I.C. § 104. The Attorney General has separate general enforcement and representation authority under 3 V.I.C. § 114.</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the CPL’s debt-collection coverage, applicable Virgin Islands credit and interest laws, and the federal Fair Debt Collection Practices Act.</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Overview: No separate broad Virgin Islands collection-agency conduct statute was identified for this module. The CPL expressly reaches deceptive or unconscionable practices in the collection of consumer debts. Virgin Islands usury and interest laws may apply to unauthorized charges, while the FDCPA governs qualifying third-party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12A V.I.C. §§ 101–102, 108; 11 V.I.C. §§ 951–957 where interest or usury is implicated;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Virgin Islands DLCA; Virgin Islands Department of Justice where independent enforcement authority applies;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Virgin Islands analogue to the federal FCRA governing general accuracy and reinvestigation duties was identified for this module. Federal FCRA procedures remain the primary credit-report framework.</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No separate territorial security-freeze statute was identified for this module. Federal law permits consumers to place, temporarily lift, and remove security freezes without charge under 15 U.S.C. § 1681c-1.</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and use federal fraud-alert and security-freeze procedures under the FCRA. Virgin Islands identity-theft and breach provisions supplement record-building and restoration.</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Virgin Islands claims should identify distinct deceptive, debt-collection, identity-theft, or breach conduct and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and security freezes arise principally under federal law; the Virgin Islands Identity Theft Prevention Act supplements victim reporting, civil remedies, and identity-restoration records.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Federal FCRA remedies govern security-freeze and credit-report violations. Distinct territorial remedies may arise under 12A V.I.C. § 108 or 14 V.I.C. §§ 2204 and 2211 when their statutory elements are independently satisfied.</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w:t>
      </w:r>
      <w:r w:rsidRPr="00566B6A">
        <w:rPr>
          <w:rFonts w:ascii="Courier New" w:hAnsi="Courier New" w:cs="Courier New"/>
          <w:bCs/>
          <w:sz w:val="22"/>
        </w:rPr>
        <w:lastRenderedPageBreak/>
        <w:t>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The Virgin Islands Identity Theft Prevention Act is codified at 14 V.I.C. §§ 2200 through 2207. Section 2202 defines identity theft; § 2204 authorizes specified civil recovery after conviction; and § 2206 requires the Virgin Islands Police Department to accept and provide identity-theft reports.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Factual restoration: Under 14 V.I.C. § 2206, an identity-theft victim may obtain a police report and may seek a judicial factual determination under the statute’s procedures. Preserve the resulting report, order, and all supporting identity records.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Government agencies must provide qualifying breach notice under 14 V.I.C. § 2208, and persons or businesses conducting business in the Virgin Islands must provide qualifying notice under § 2209. Notice must be made in the most expedient time possible and without unreasonable delay, subject to statutory exceptions.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Article range: Virgin Islands identity-theft and breach provisions are codified at 14 V.I.C. §§ 2200 through 2212, including breach notice at §§ 2208–2209 and cumulative civil and injunctive remedies at § 2211.</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territorial consumer-data privacy act was identified for this module; the Identity Theft Prevention Act, breach-notification duties, computer-crime law, sector-specific rules, and federal privacy law may apply.</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Virgin Islands DLCA: Consumer complaint intake, investigation, mediation, administrative fines, injunctions, restitution, deceptive-practice enforcement, and licensing oversight within its jurisdiction.</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Virgin Islands Department of Justice / Attorney General: General representation, investigation, prosecution, and enforcement authority under 3 V.I.C. § 114 when an independent law or referral supports action.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Office of the Lieutenant Governor — Division of Banking, Insurance and Financial Regulation: Complaint pathway for covered financial institutions, lenders, insurers, and related regulated entities, as jurisdiction permits.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Virgin Islands intake when federal consumer-finance, credit-reporting,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the U.S. Virgin Islands without municipality-specific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12A V.I.C. §§ 101–110</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CPL — deceptive or unconscionable consumer practices and debt collection</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Private relief under § 108; DLCA fines, injunctions, restitution, and license relief</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representation; consumer purpose; loss; filing date; agency complaint</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 V.I.C. §§ 951–957; federal FDCPA</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Interest, usury, and qualifying third-party collection conduct</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Usury defenses or recovery where authorized; federal damages and fees may apply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Contract; rate and charges; payment ledger; demand letters; collector identity</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Statute</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15 U.S.C. § 1681c-1</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Fraud alerts and free consumer security freezes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Placement, lifting, removal, and federal remedies for noncompliance</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authentication; access request; release history; damages</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14 V.I.C. §§ 2208–2211</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notice for agencies, persons, and businesses</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notice; owner notice; damages; injunction; cumulative remedies</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affected data; investigation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14 V.I.C. §§ 2200–2207</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civil remedies, police report, and factual determination</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relief; civil recovery after conviction; reporting and restoration procedures</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VIPD/FTC report; identity affidavit; creditor and bureau notices; court order</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Virgin Islands DLCA</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CPL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Mediation, investigation, fines, injunction, restitution, and license action</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exhibits;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DLCA / VI DOJ / Banking &amp; Insurance</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licensing, financial, and criminal matters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Jurisdictional review and administrative or enforcement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 referral records</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Municipality-specific consumer-affairs provisions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Virgin Islands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 xml:space="preserve">15 U.S.C. §§ 1681a(g), 1681e(b), </w:t>
            </w:r>
            <w:r w:rsidRPr="00566B6A">
              <w:rPr>
                <w:rFonts w:ascii="Courier New" w:hAnsi="Courier New" w:cs="Courier New"/>
                <w:sz w:val="22"/>
              </w:rPr>
              <w:lastRenderedPageBreak/>
              <w:t>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Personal identifiers and employer information in the </w:t>
            </w:r>
            <w:r w:rsidRPr="00566B6A">
              <w:rPr>
                <w:rFonts w:ascii="Courier New" w:hAnsi="Courier New" w:cs="Courier New"/>
                <w:sz w:val="22"/>
              </w:rPr>
              <w:lastRenderedPageBreak/>
              <w:t>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Free reasonable reinvestigation; revised report; prompt deletion </w:t>
            </w:r>
            <w:r w:rsidRPr="00566B6A">
              <w:rPr>
                <w:rFonts w:ascii="Courier New" w:hAnsi="Courier New" w:cs="Courier New"/>
                <w:sz w:val="22"/>
              </w:rPr>
              <w:lastRenderedPageBreak/>
              <w:t>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Credit-report page; proof of identity/current address; employer records; </w:t>
            </w:r>
            <w:r w:rsidRPr="00566B6A">
              <w:rPr>
                <w:rFonts w:ascii="Courier New" w:hAnsi="Courier New" w:cs="Courier New"/>
                <w:sz w:val="22"/>
              </w:rPr>
              <w:lastRenderedPageBreak/>
              <w:t>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U.S. Virgin Islands (VI)</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decisions below apply Virgin Islands consumer-protection, limitations, professional-services, or consumer-debt law. The Third Circuit decisions are controlling federal appellate interpretations of Virgin Islands law unless superseded by later territorial authority.</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Island Insteel Systems, Inc. v. Waters</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 Ct. App., 3d Cir.</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2002</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296 F.3d 200</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Interpreting Virgin Islands law, held that a CPL deceptive-practices claim does not require common-law fraud scienter or actual reliance. It also applied the two-year period in 12A V.I.C. § 108(j), running from the violation.</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misleading representation and consumer context; document resulting loss and the occurrence date; calendar the two-year period and preserve any tolling facts.</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Brady v. Cintron</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V.I.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55 V.I. 802</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deceptive-trade-practices action is a tort and that allegations directed only to medical judgment, without entrepreneurial or commercial conduct, fell within the Medical Malpractice Act rather than an independent CPL theory.</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commercial representations, billing, advertising, or financing conduct from professional judgment; preserve advertisements, disclosures, invoices, consent forms, and communications.</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Foreign Commerce, Inc. v. Tonn</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 Ct. App., 3d Cir.</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1986</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789 F.2d 221</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Virgin Islands interest and usury statutes to a consumer purchase debt and held that a recurring service charge could be challenged as usurious notwithstanding its label.</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contract, stated rate, service-charge calculation, payment history, invoices, demand letters, and a comparison between the effective charge and the lawful rate.</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Island Insteel Systems, Inc. v. Waters</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 Ct. App., 3d Cir.</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2002</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296 F.3d 200</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Interpreting Virgin Islands law, held that a CPL deceptive-practices claim does not require common-law fraud scienter or actual reliance. It also applied the two-year period in 12A V.I.C. § 108(j), running from the violation.</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misleading representation and consumer context; document resulting loss and the occurrence date; calendar the two-year period and preserve any tolling facts.</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Brady v. Cintron</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V.I.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55 V.I. 802</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deceptive-trade-practices action is a tort and that allegations directed only to medical judgment, without entrepreneurial or commercial conduct, fell within the Medical Malpractice Act rather than an independent CPL theory.</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commercial representations, billing, advertising, or financing conduct from professional judgment; preserve advertisements, disclosures, invoices, consent forms, and communications.</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Foreign Commerce, Inc. v. Tonn</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 Ct. App., 3d Cir.</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1986</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789 F.2d 221</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Virgin Islands interest and usury statutes to a consumer purchase debt and held that a recurring service charge could be challenged as usurious notwithstanding its label.</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contract, stated rate, service-charge calculation, payment history, invoices, demand letters, and a comparison between the effective charge and the lawful rate.</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Virgin Islands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Virgin Islands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territorial mini-FCRA identified</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records; avoid unsupported parallel territorial reporting duties.</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CPL only for factually distinct deception</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the bureau-dispute notice trail; separate non-reporting conduct.</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14 V.I.C. §§ 2200–2207; federal § 1681c-2</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VIPD/FTC reports, proof of identity, exact disputed items, court determinations, and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12A V.I.C. §§ 101–102; FDCPA; 11 V.I.C. §§ 951–957</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communications, charges, interest calculations, dispute requests, payment history, and collector identity.</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15 U.S.C. § 1681c-1</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federal freeze confirmations, authorization requests, access records, notices,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14 V.I.C. §§ 2208–2211</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affected data, discovery and notice dates, investigation findings, and remediation records.</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CPL, 12A V.I.C. §§ 101–110</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covered consumer transaction or debt collection, misleading practice, resulting loss, remedy, and timely filing.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lastRenderedPageBreak/>
        <w:t>Safer zones (generally): identity-theft conduct, breach-notification duties, deceptive collection communications, unauthorized interest or charges, and CPL consumer-transaction deception factually distinct from CRA or 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Virgin Islands claims that attempt to impose accuracy, reinvestigation, security-freeze, or furnishing duties parallel to the FCRA without distinct territorial authority.</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5 — File a Virgin Islands complaint with DLCA, the Department of Justice, or the Division of Banking, Insurance and Financial Regulation as jurisdiction requires;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7 — Escalate unresolved federal issues to the CFPB or FTC after Virgin Islands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Virgin Islands DLCA / DOJ / regulator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CPL loss record + occurrence and filing-date proof</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status, covered practice, resulting loss, available remedy, limitations, and tolling record</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Virgin Islands CPL notice and record-building when a covered consumer transaction, deceptive or unconscionable practice, resulting loss, and timely filing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U.S. Virgin Islands (VI)</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Virgin Islands Consumer Protection Law of 1973 | 12A V.I.C. §§ 101 through 110 | Remedies: declaratory and injunctive relief; actual damages or $250, whichever is greater; class and fee remedies under statutory conditions; DLCA fines, injunctions, restitution, and license relief. | Authority: DLCA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Virgin Islands Consumer-Debt Protections | 12A V.I.C. §§ 101–102 and 108; 11 V.I.C. §§ 951–957 where applicable | Remedies: CPL private and agency relief for covered deception; defenses or recovery under interest and usury law; federal FDCPA remedies may apply separately. | Authority: DLCA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Federal Credit Reporting and Security Freeze Framework | 15 U.S.C. §§ 1681 through 1681x, including § 1681c-1 | Remedies: file disclosure, fraud alerts, free security freezes, reinvestigation, correction, identity-theft blocking, and federal civil remedies. | Authority: CFPB / FTC / federal and territorial courts.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Virgin Islands Security-Breach Law | 14 V.I.C. §§ 2208 through 2211 | Remedies: consumer notice, owner or licensee notice, civil damages, injunctions, and cumulative remedies subject to statutory terms. | Authority: courts / territorial enforcement agencies.</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Virgin Islands Identity Theft Prevention Act | 14 V.I.C. §§ 2200 through 2207 | Remedies: criminal enforcement, civil recovery after conviction under § 2204, police reports, judicial factual determinations, and identity-restoration procedures. | Authority: VIPD / Department of Justice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Virgin Islands DLCA rules and orders — consult current territorial regulations governing consumer protection, advertising, licensing, administrative complaints, hearings, fines, and mediation. Verify the exact title, chapter, and section before filing or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Virgin Islands DLCA: Consumer complaint filing, mediation, investigation, licensing review, and CPL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Virgin Islands Department of Justice: Attorney General enforcement or criminal-referral pathway where independent authority applies.</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Division of Banking, Insurance and Financial Regulation: Complaint pathway for covered financial institutions and regulated financial-service providers.</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the U.S. Virgin Islands without municipality-specific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Island Insteel Systems, Inc. v. Waters</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 Ct. App., 3d Cir.</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2002</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296 F.3d 200</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Interpreting Virgin Islands law, held that a CPL deceptive-practices claim does not require common-law fraud scienter or actual reliance. It also applied the two-year period in 12A V.I.C. § 108(j), running from the violation.</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misleading representation and consumer context; document resulting loss and the occurrence date; calendar the two-year period and preserve any tolling facts.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Brady v. Cintron</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V.I.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55 V.I. 802</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deceptive-trade-practices action is a tort and that allegations directed only to medical judgment, without entrepreneurial or commercial conduct, fell within the Medical Malpractice Act rather than an independent CPL theory.</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commercial representations, billing, advertising, or financing conduct from professional judgment; preserve advertisements, disclosures, invoices, consent forms, and communications.</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Foreign Commerce, Inc. v. Tonn</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 Ct. App., 3d Cir.</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1986</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789 F.2d 221</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Virgin Islands interest and usury statutes to a consumer purchase debt and held that a recurring service charge could be challenged as usurious notwithstanding its label.</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contract, stated rate, service-charge calculation, payment history, invoices, demand letters, and a comparison between the effective charge and the lawful rate.</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 TK-Authority-2026-07-VI</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 Federal + VI</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lastRenderedPageBreak/>
        <w:t>Update Discipline: Citations must be validated against official or authoritative sources before inclusion. Virgin Islands statutes and cases in this version were checked against current territorial agency, court, and code publications available on July 24, 2026. Federal FCRA authorities were checked against current U.S. Code and Regulation V materials.</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U.S. Virgin Islands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Virgin Islands regulation citation by agency, title or chapter, section, and effective date.</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sectPr w:rsidR="00756B19"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40D60" w14:textId="77777777" w:rsidR="000222AA" w:rsidRDefault="000222AA">
      <w:pPr>
        <w:spacing w:after="0" w:line="240" w:lineRule="auto"/>
      </w:pPr>
      <w:r>
        <w:separator/>
      </w:r>
    </w:p>
  </w:endnote>
  <w:endnote w:type="continuationSeparator" w:id="0">
    <w:p w14:paraId="13DB71E8" w14:textId="77777777" w:rsidR="000222AA" w:rsidRDefault="00022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37E75" w14:textId="77777777" w:rsidR="000222AA" w:rsidRDefault="000222AA">
      <w:pPr>
        <w:spacing w:after="0" w:line="240" w:lineRule="auto"/>
      </w:pPr>
      <w:r>
        <w:separator/>
      </w:r>
    </w:p>
  </w:footnote>
  <w:footnote w:type="continuationSeparator" w:id="0">
    <w:p w14:paraId="628D431E" w14:textId="77777777" w:rsidR="000222AA" w:rsidRDefault="000222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U.S. VIRGIN ISLANDS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2AA"/>
    <w:rsid w:val="00024A47"/>
    <w:rsid w:val="00034616"/>
    <w:rsid w:val="0006063C"/>
    <w:rsid w:val="000C26BB"/>
    <w:rsid w:val="0015074B"/>
    <w:rsid w:val="0029639D"/>
    <w:rsid w:val="00326F90"/>
    <w:rsid w:val="00463F22"/>
    <w:rsid w:val="00566B6A"/>
    <w:rsid w:val="00655F05"/>
    <w:rsid w:val="006922D5"/>
    <w:rsid w:val="006F27AD"/>
    <w:rsid w:val="00736F61"/>
    <w:rsid w:val="00756B19"/>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4544</Words>
  <Characters>25905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30389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2026-07-24T23:45:00Z</dcterms:created>
  <dcterms:modified xsi:type="dcterms:W3CDTF">2026-07-24T23:45:00Z</dcterms:modified>
  <cp:category/>
</cp:coreProperties>
</file>