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Utah (UT)</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Utah Consumer Sales Practices Act (UCSPA)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Utah Code §§ 13-11-1 through 13-11-23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and unconscionable supplier practices connected with consumer transactions before, during, or after the transaction.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Declaratory and injunctive relief, actual damages, court costs, and possible fees under § 13-11-19. The Division may seek injunctions, disgorgement, restitution, and fines.</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Section 13-11-19 authorizes declaratory, injunctive, and actual-damages claims. Its former two-year limit was removed May 7, 2025. For current claims, verify accrual, transition rules, and possible application of the three-year statutory-liability period in § 78B-2-305.</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Utah Division of Consumer Protection; see Utah Code §§ 13-11-7, 13-11-8, 13-11-16, and 13-11-17.</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Review Utah Code § 12-1-11, Title 70C creditor-remedy provisions, and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Most former collection-agency registration provisions were repealed in 2023. Current law addresses collection fees, creditor remedies, garnishment, unconscionability, negative-report notice, and debtor remedies. The FDCPA governs qualifying third-party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Utah Code § 12-1-11; §§ 70C-7-101 through 70C-7-107; §§ 70C-7-201 through 70C-7-205;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Utah Division of Consumer Protection; Department of Financial Institutions; CFPB and FTC.</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Chapter 13-45 covers freezes, protected consumers, Social Security-number protection, enforcement, and specified reporting prohibitions. The federal FCRA remains primary for general accuracy and reinvestigation.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Adult freezes are governed by §§ 13-45-201 through 13-45-205; protected-consumer freezes by §§ 13-45-501 through 13-45-506.</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Federal FCRA disclosures apply; Utah freeze procedures restrict specified report releases.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or unverifiable identifiers with the CRA under 15 U.S.C. § 1681i. Evaluate separate Utah claims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Principally federal; Utah adds freezes, identity-fraud records, and breach protections.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Section 13-45-401 authorizes Attorney General enforcement and civil fines. Chapter 13-45 states no general private right of action.</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w:t>
      </w:r>
      <w:r w:rsidRPr="00566B6A">
        <w:rPr>
          <w:rFonts w:ascii="Courier New" w:hAnsi="Courier New" w:cs="Courier New"/>
          <w:bCs/>
          <w:sz w:val="22"/>
        </w:rPr>
        <w:lastRenderedPageBreak/>
        <w:t>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w:t>
      </w:r>
      <w:r w:rsidRPr="00566B6A">
        <w:rPr>
          <w:rFonts w:ascii="Courier New" w:hAnsi="Courier New" w:cs="Courier New"/>
          <w:bCs/>
          <w:sz w:val="22"/>
        </w:rPr>
        <w:lastRenderedPageBreak/>
        <w:t>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fraud: Utah Code § 76-6-1102 criminalizes identity fraud using another person’s identifying information for an unlawful purpose.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Court record: Section 76-6-1104 requires findings when a stolen identity was used to commit another crime. Preserve reports, findings, freezes, notices, and FCRA blocking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Section 13-44-202 requires prompt investigation and resident notice when identity-theft or fraud misuse occurred or is reasonably likely; qualifying government notice also applies.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PPIA §§ 13-44-101 through 13-44-301; Consumer Credit Protection Act §§ 13-45-101 through 13-45-601.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The Utah Consumer Privacy Act is codified at §§ 13-61-101 through 13-61-404; sector-specific rules may also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Utah Division of Consumer Protection: Complaint intake, UCSPA administration, investigation, and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Utah Department of Financial Institutions: Complaint pathway for regulated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Utah Attorney General: PPIA and Consumer Credit Protection Act enforcement where authorized.</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credit-reporting disputes; none are identified as directly applicable in Utah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13-11-1–23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UCSPA deceptive/unconscionable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Declaration; injunction; actual damages; costs/fees; Division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Supplier; transaction; practice; loss; cause; version;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12-1-11; §§ 70C-7-101–107, 201–205</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Fees, creditor remedies, garnishment, unconscionability, negative-report notice</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Restrictions; specified damages/penalties; costs/fees; FDCPA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creditor; agreement; fee; notices; report; damages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13-45-101–601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Freezes, protected consumers, SSN protection, enforcement, report prohibitions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procedures; AG injunction/fines; no general private action</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Confirmation; identifier; requests; releases; notices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13-44-101–301</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Safeguards, breach investigation, resident/government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 and civil penalties; no statutory private action</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count; data; investigation; government notice</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76-6-1101–1105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fraud, investigation, court findings, ID documents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ordered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 documents; findings;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Division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Complaints, UCSPA administration, rules, and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compliance, civil action, restitution, disgorgement, fines</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DFI / Attorney General</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entities; privacy, breach, freeze, identity-fraud enforcement</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examination, injunctions, penalties, authorized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Charter/license; complaint;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Utah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Utah (UT)</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Pace explains that former registration provisions were largely repealed in 2023; do not state them as current law.</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Tidwell v. Jensen</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 UT App 13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Interpreting the 2017 UCSPA, reversed judgment as a matter of law and held that the historical knowledge-or-intent language applied to making the representation, not to knowledge that the representation was false. The opinion notes that the current statute removed that language.</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transaction date to the correct statutory version; preserve the representation, actual condition, contract, inspection evidence, reliance-related facts, and loss documentation.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Heath v. Division of Consumer Protection</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 UT App 45</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administrative findings based on vehicle-repair and safety misrepresentations and discussed supplier status and rule-specific mental-state requirements under the UCSPA and Utah administrative rules.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estimates, authorizations, inspection findings, employee statements, invoices, recordings, customer complaints, and the exact rule version applicable when the conduct occurred.</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Pace v. Link Debt Recovery LLC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 UT App 4, 542 P.3d 979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dismissal where a collector allegedly made an affirmative representation that could imply lawful registration and bonding. A former registration violation alone did not create a UCSPA claim, but an affirmative misrepresentation could support UCSPA and FDCPA theories.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complaint, assignments, collector identity, affirmative representations, historical registration records, reliance or response decisions, and FDCPA communications. Do not treat repealed registration provisions as current law.</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Tidwell v. Jensen</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 UT App 13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Interpreting the 2017 UCSPA, reversed judgment as a matter of law and held that the historical knowledge-or-intent language applied to making the representation, not to knowledge that the representation was false. The opinion notes that the current statute removed that language.</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transaction date to the correct statutory version; preserve the representation, actual condition, contract, inspection evidence, reliance-related facts, and loss documentation.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Heath v. Division of Consumer Protection</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 UT App 45</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administrative findings based on vehicle-repair and safety misrepresentations and discussed supplier status and rule-specific mental-state requirements under the UCSPA and Utah administrative rules.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estimates, authorizations, inspection findings, employee statements, invoices, recordings, customer complaints, and the exact rule version applicable when the conduct occurred.</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Pace v. Link Debt Recovery LLC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 UT App 4, 542 P.3d 979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dismissal where a collector allegedly made an affirmative representation that could imply lawful registration and bonding. A former registration violation alone did not create a UCSPA claim, but an affirmative misrepresentation could support UCSPA and FDCPA theories.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complaint, assignments, collector identity, affirmative representations, historical registration records, reliance or response decisions, and FDCPA communications. Do not treat repealed registration provisions as current law.</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disputes, and reporting. Overlapping Utah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Utah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13-45 covers freezes/prohibitions; FCRA supplies general accuracy duties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disputes; do not infer a broad state reinvestigation claim.</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FCRA; § 70C-7-107 has a distinct covered-creditor notice duty</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pre-report notice from FCRA investigation/furnishing duties.</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76-6-1101–1105; chs. 13-44, 13-45</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reports, findings, freezes, breach records,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UCSPA; § 12-1-11; Title 70C;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representations, fees, notices, authority, communications, and loss.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13-45-201–205, 501–506</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identifier, requests, timing, releases, and notices.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chs. 13-44 and 13-61</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count, data, risk analysis, government notice,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UCSPA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Code §§ 13-11-1–23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supplier, transaction, practice, loss, cause, version, and limitations analysis.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fraud, distinct collection communications, collection-fee and negative-report-notice issues, freezes, breach duties, and UCSPA conduct separate from CRA/furnisher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claims imposing accuracy, reinvestigation, furnishing, obsolescence, or blocking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Utah Consumer Protection, Financial Institutions, or the Attorney General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DCP / DFI / Attorney General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UCSPA evidence + accrual and statutory-version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Supplier, consumer transaction, deceptive/unconscionable practice, loss, causation, applicable version, and limitations analysis</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Utah UCSPA evidence + accrual/version record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Utah (UT)</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Consumer Sales Practices Act | Utah Code §§ 13-11-1–23 | Remedies: declaration, injunction, actual damages, costs, possible fees, and Division restitution, disgorgement, fines, and injunctions. | Authority: Division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Credit and Collection Framework | Utah Code § 12-1-11; §§ 70C-7-101–107, 201–205; FDCPA | Remedies: creditor limits, specified damages/penalties, costs, fees, and federal relief. | Authority: courts / regulators.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Consumer Credit Protection Act | Utah Code §§ 13-45-101–601 | Remedies: adult and protected-consumer freezes, AG enforcement, civil fines, and reporting prohibitions. | Authority: AG / CRAs.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Protection of Personal Information Act | Utah Code §§ 13-44-101–301 | Remedies: AG injunction and civil penalties; no statutory private action. | Authority: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Identity Fraud Act | Utah Code §§ 76-6-1101–1105 | Remedies: criminal enforcement, restitution where ordered, investigation, and court findings. | Authority: law enforcement / AG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Administrative Code R152-11 — verify the current rule and effective version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Division of Consumer Protection: UCSPA complaint and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Department of Financial Institutions: regulated-entity complaint guidance.</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Utah Attorney General: identity-fraud, breach, and freeze-enforcement guidance.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Utah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Tidwell v. Jensen</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2026 UT App 13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Applying the 2017 UCSPA, held historical scienter attached to making the representation, not knowledge of falsity; the opinion notes current law removed that language.</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Match the transaction date to the statute version; preserve representations, condition, contract, evidence, and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Heath v. Division of Consumer Protection</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 UT App 45</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Upheld vehicle-repair and safety misrepresentation findings and discussed supplier status and rule-specific mental state.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estimates, authorizations, inspections, statements, invoices, complaints, and the applicable rule version.</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Pace v. Link Debt Recovery LLC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Utah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2024 UT App 4, 542 P.3d 979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An affirmative representation implying lawful registration could support UCSPA/FDCPA claims; a former registration violation alone was insufficient, and most registration provisions were later repealed.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collection pleadings, assignments, representations, historical records, communications, and response decisions.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TK-Authority-2026-07-UT</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UT</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Utah statutes, appellate decisions, and federal FCRA materials were checked against sources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federal and Utah authority library.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Utah administrative rule citation by agency, title, rule,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E038" w14:textId="77777777" w:rsidR="003247FC" w:rsidRDefault="003247FC">
      <w:pPr>
        <w:spacing w:after="0" w:line="240" w:lineRule="auto"/>
      </w:pPr>
      <w:r>
        <w:separator/>
      </w:r>
    </w:p>
  </w:endnote>
  <w:endnote w:type="continuationSeparator" w:id="0">
    <w:p w14:paraId="124B0FE2" w14:textId="77777777" w:rsidR="003247FC" w:rsidRDefault="00324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DF73" w14:textId="77777777" w:rsidR="003247FC" w:rsidRDefault="003247FC">
      <w:pPr>
        <w:spacing w:after="0" w:line="240" w:lineRule="auto"/>
      </w:pPr>
      <w:r>
        <w:separator/>
      </w:r>
    </w:p>
  </w:footnote>
  <w:footnote w:type="continuationSeparator" w:id="0">
    <w:p w14:paraId="14BE50FF" w14:textId="77777777" w:rsidR="003247FC" w:rsidRDefault="00324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UTAH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47FC"/>
    <w:rsid w:val="00326F90"/>
    <w:rsid w:val="00463F22"/>
    <w:rsid w:val="00566B6A"/>
    <w:rsid w:val="005F59C5"/>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3877</Words>
  <Characters>22103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2026-07-24T20:48:00Z</dcterms:created>
  <dcterms:modified xsi:type="dcterms:W3CDTF">2026-07-24T20:48:00Z</dcterms:modified>
  <cp:category/>
</cp:coreProperties>
</file>