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0D39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6E82E7E1" w14:textId="77777777" w:rsidR="00024A47" w:rsidRPr="00024A47" w:rsidRDefault="00024A47">
      <w:pPr>
        <w:spacing w:after="140"/>
        <w:jc w:val="center"/>
        <w:rPr>
          <w:rFonts w:ascii="Courier New" w:hAnsi="Courier New" w:cs="Courier New"/>
          <w:b/>
          <w:sz w:val="22"/>
        </w:rPr>
      </w:pPr>
    </w:p>
    <w:p w14:paraId="2F068545" w14:textId="77777777"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28337C83" w14:textId="77777777" w:rsidR="00566B6A" w:rsidRPr="00024A47" w:rsidRDefault="00566B6A" w:rsidP="00566B6A">
      <w:pPr>
        <w:spacing w:after="0"/>
        <w:jc w:val="center"/>
        <w:rPr>
          <w:rFonts w:ascii="Courier New" w:hAnsi="Courier New" w:cs="Courier New"/>
          <w:bCs/>
          <w:sz w:val="22"/>
        </w:rPr>
      </w:pPr>
    </w:p>
    <w:p w14:paraId="5A3C7C4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5D780BE7"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16D7688"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3F69228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Virginia (VA)</w:t>
      </w:r>
    </w:p>
    <w:p w14:paraId="3F5EC786"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32192CC8"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0AD7CAFA"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139295E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Virginia Consumer Protection Act of 1977 (VCPA)</w:t>
      </w:r>
    </w:p>
    <w:p w14:paraId="798D00B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Va. Code §§ 59.1-196 through 59.1-207</w:t>
      </w:r>
    </w:p>
    <w:p w14:paraId="3161C28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specified fraudulent acts or practices by a supplier in connection with a consumer transaction, including material misrepresentations, deceptive conduct, and other practices listed in Va. Code § 59.1-200.</w:t>
      </w:r>
    </w:p>
    <w:p w14:paraId="0E71731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person who suffers loss may recover actual damages or $500, whichever is greater. A willful violation may support up to three times actual damages or $1,000, whichever is greater, plus possible attorney’s fees and court costs. Public enforcement may include injunctions, restoration, civil penalties, costs, and fees.</w:t>
      </w:r>
    </w:p>
    <w:p w14:paraId="3159FBD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Va. Code § 59.1-204 authorizes an individual action for loss caused by a VCPA violation. Under § 59.1-204.1, the action generally must be commenced within two years after accrual, subject to statutory tolling while an authorized governmental action is pending.</w:t>
      </w:r>
    </w:p>
    <w:p w14:paraId="641F854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Virginia Attorney General — Consumer Protection Section. Section 59.1-201 governs civil investigative orders for Commonwealth or local attorneys; § 59.1-201.1 authorizes Attorney General civil investigative demands; §§ 59.1-203, 59.1-205, and 59.1-206 address injunctions, restoration, civil penalties, costs, and fees.</w:t>
      </w:r>
    </w:p>
    <w:p w14:paraId="2848DFA4"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EB8712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or derogatory tradeline activity present — evaluate whether a supplier’s collection-related statement or practice falls within Va. Code § 59.1-200 and whether the federal Fair Debt Collection Practices Act applies.</w:t>
      </w:r>
    </w:p>
    <w:p w14:paraId="54DA494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Virginia does not provide a broad private debt-collection conduct code comparable to the federal FDCPA for all consumer collectors. The VCPA may apply to qualifying deceptive acts in a consumer transaction, while the FDCPA remains the principal conduct statute for qualifying third-party debt collectors. The Virginia Debt Collection Act in Title 2.2 concerns receivables owed to the Commonwealth rather than general private consumer debts.</w:t>
      </w:r>
    </w:p>
    <w:p w14:paraId="5538F2C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Va. Code § 59.1-200; 15 U.S.C. §§ 1692 through 1692p.</w:t>
      </w:r>
    </w:p>
    <w:p w14:paraId="04C727B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Virginia Attorney General — Consumer Protection Section; Virginia State Corporation Commission, Bureau of Financial Institutions, where the entity is regulated; CFPB and FTC where federal jurisdiction applies.</w:t>
      </w:r>
    </w:p>
    <w:p w14:paraId="674B8CBE"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5863392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Va. Code Chapter 35.1 defines covered consumer reporting terms and provides security-freeze rights. Federal FCRA procedures remain the primary framework for general accuracy, reinvestigation, furnisher duties, and identity-theft blocking.</w:t>
      </w:r>
    </w:p>
    <w:p w14:paraId="7193743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Virginia consumers may request placement, temporary lifting, or removal of a security freeze under Va. Code §§ 59.1-444.1 through 59.1-444.2.</w:t>
      </w:r>
    </w:p>
    <w:p w14:paraId="40DF2C6A"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federal FCRA file disclosures and must receive Virginia’s security-freeze rights notice when the federal summary of rights is provided.</w:t>
      </w:r>
    </w:p>
    <w:p w14:paraId="4CB7B9D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identifiers may be disputed directly with the consumer reporting agency under 15 U.S.C. § 1681i. Virginia security-freeze law also requires notice of specified changes to official identifying information while a freeze is active. Evaluate state claims separately for FCRA preemption.</w:t>
      </w:r>
    </w:p>
    <w:p w14:paraId="3F617D6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Virginia supplements identity protection through security-freeze, identity-theft, victim-assistance, and breach-notification provisions.</w:t>
      </w:r>
    </w:p>
    <w:p w14:paraId="1A15459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Under Va. Code § 59.1-444.2, willful noncompliance may support actual or statutory damages of $100 to $1,000, punitive damages, costs, and reasonable attorney’s fees; negligent noncompliance may support actual damages, costs, and fees, subject to the statute’s terms and enforcement limits.</w:t>
      </w:r>
    </w:p>
    <w:p w14:paraId="3D1AA165"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41AE71B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Information covered by the consumer file: Under 15 U.S.C. § 1681a(g), a consumer “file” includes all information about the consumer recorded and retained by a consumer reporting agency, regardless of storage method. This permits a consumer to dispute personal identifiers </w:t>
      </w:r>
      <w:r w:rsidRPr="00566B6A">
        <w:rPr>
          <w:rFonts w:ascii="Courier New" w:hAnsi="Courier New" w:cs="Courier New"/>
          <w:bCs/>
          <w:sz w:val="22"/>
        </w:rPr>
        <w:lastRenderedPageBreak/>
        <w:t>retained in the file, including names, current or former addresses, telephone numbers, and past or present employer information.</w:t>
      </w:r>
    </w:p>
    <w:p w14:paraId="5C4E3587"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3F685C07"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219F462C"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653C05A"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060729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5BD5569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22689D4E"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w:t>
      </w:r>
      <w:r w:rsidRPr="00566B6A">
        <w:rPr>
          <w:rFonts w:ascii="Courier New" w:hAnsi="Courier New" w:cs="Courier New"/>
          <w:bCs/>
          <w:sz w:val="22"/>
        </w:rPr>
        <w:lastRenderedPageBreak/>
        <w:t>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22676BC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49DFB0B"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6BB4C1B7"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107878E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Va. Code § 18.2-186.3 criminalizes unauthorized obtaining, recording, accessing, or using identifying information with intent to defraud and authorizes restitution for expenses associated with correcting credit-report and identifying-information errors.</w:t>
      </w:r>
    </w:p>
    <w:p w14:paraId="78C2ED4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Victim assistance: At a victim’s request, the Virginia Attorney General may assist in obtaining information needed to correct credit-report or identifying-information inaccuracies, without providing legal representation. Preserve police and FTC reports, creditor notices, disputes, freeze confirmations, restitution records, and agency correspondence.</w:t>
      </w:r>
    </w:p>
    <w:p w14:paraId="691612A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0ED5E0A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3E17BCDC"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2FB5102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Va. Code § 18.2-186.6 requires qualifying notice to affected Virginia residents and the Office of the Attorney General without unreasonable delay when covered unencrypted or unredacted personal information was or is reasonably believed to have been accessed and acquired and identity theft or other fraud has occurred or is reasonably expected.</w:t>
      </w:r>
    </w:p>
    <w:p w14:paraId="50386B0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Additional notice and remedies: Notice to more than 1,000 persons also requires notice to nationwide consumer reporting agencies. The Attorney General may seek relief and a civil penalty up to $150,000 per breach or related series, and the statute does not limit recovery of direct economic damages.</w:t>
      </w:r>
    </w:p>
    <w:p w14:paraId="1F6F9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This module addresses Virginia’s listed breach-notification and identity-theft authorities. Other sector-specific Virginia and federal privacy requirements may apply depending on the entity and data involved.</w:t>
      </w:r>
    </w:p>
    <w:p w14:paraId="176F23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1DB1F2BE"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4EBA258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Virginia Attorney General: Consumer Protection Section — VCPA complaint intake, investigation, civil investigative demands, injunctions, restoration, penalties, and other public enforcement.</w:t>
      </w:r>
    </w:p>
    <w:p w14:paraId="563FC42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Virginia State Corporation Commission — Bureau of Financial Institutions: Complaint and regulatory pathway for licensed or regulated lenders, mortgage entities, money-service businesses, and other financial institutions within its jurisdiction.</w:t>
      </w:r>
    </w:p>
    <w:p w14:paraId="6755DB65"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Virginia Attorney General: Identity-theft victim assistance and breach-notification intake under Va. Code §§ 18.2-186.3 and 18.2-186.6.</w:t>
      </w:r>
    </w:p>
    <w:p w14:paraId="63CEA4D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0997465F"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0B7351B4"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Virginia without municipal verification.</w:t>
      </w:r>
    </w:p>
    <w:p w14:paraId="621219CA" w14:textId="77777777" w:rsidR="00566B6A" w:rsidRPr="00566B6A" w:rsidRDefault="00566B6A" w:rsidP="00566B6A">
      <w:pPr>
        <w:spacing w:after="0"/>
        <w:rPr>
          <w:rFonts w:ascii="Courier New" w:hAnsi="Courier New" w:cs="Courier New"/>
          <w:bCs/>
          <w:sz w:val="22"/>
        </w:rPr>
      </w:pPr>
    </w:p>
    <w:p w14:paraId="6B744B73"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2D5B0191" w14:textId="77777777">
        <w:trPr>
          <w:cantSplit/>
          <w:tblHeader/>
          <w:jc w:val="center"/>
        </w:trPr>
        <w:tc>
          <w:tcPr>
            <w:tcW w:w="1440" w:type="dxa"/>
            <w:shd w:val="clear" w:color="auto" w:fill="D9EAF7"/>
            <w:tcMar>
              <w:top w:w="55" w:type="dxa"/>
              <w:left w:w="55" w:type="dxa"/>
              <w:bottom w:w="55" w:type="dxa"/>
              <w:right w:w="55" w:type="dxa"/>
            </w:tcMar>
            <w:vAlign w:val="center"/>
          </w:tcPr>
          <w:p w14:paraId="677F584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1B6AD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6DA2E79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1D9AACA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51DD2E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4E3465A8" w14:textId="77777777">
        <w:trPr>
          <w:cantSplit/>
          <w:jc w:val="center"/>
        </w:trPr>
        <w:tc>
          <w:tcPr>
            <w:tcW w:w="1440" w:type="dxa"/>
            <w:tcMar>
              <w:top w:w="50" w:type="dxa"/>
              <w:left w:w="55" w:type="dxa"/>
              <w:bottom w:w="50" w:type="dxa"/>
              <w:right w:w="55" w:type="dxa"/>
            </w:tcMar>
          </w:tcPr>
          <w:p w14:paraId="1757DD2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20CB49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Code §§ 59.1-196–207</w:t>
            </w:r>
          </w:p>
        </w:tc>
        <w:tc>
          <w:tcPr>
            <w:tcW w:w="3168" w:type="dxa"/>
            <w:tcMar>
              <w:top w:w="50" w:type="dxa"/>
              <w:left w:w="55" w:type="dxa"/>
              <w:bottom w:w="50" w:type="dxa"/>
              <w:right w:w="55" w:type="dxa"/>
            </w:tcMar>
          </w:tcPr>
          <w:p w14:paraId="31DB1F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VCPA — prohibited supplier practices in consumer transactions</w:t>
            </w:r>
          </w:p>
        </w:tc>
        <w:tc>
          <w:tcPr>
            <w:tcW w:w="3456" w:type="dxa"/>
            <w:tcMar>
              <w:top w:w="50" w:type="dxa"/>
              <w:left w:w="55" w:type="dxa"/>
              <w:bottom w:w="50" w:type="dxa"/>
              <w:right w:w="55" w:type="dxa"/>
            </w:tcMar>
          </w:tcPr>
          <w:p w14:paraId="3E4ADC0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or $500; possible increased damages; fees/costs; public injunction, restoration, and penalties</w:t>
            </w:r>
          </w:p>
        </w:tc>
        <w:tc>
          <w:tcPr>
            <w:tcW w:w="3888" w:type="dxa"/>
            <w:tcMar>
              <w:top w:w="50" w:type="dxa"/>
              <w:left w:w="55" w:type="dxa"/>
              <w:bottom w:w="50" w:type="dxa"/>
              <w:right w:w="55" w:type="dxa"/>
            </w:tcMar>
          </w:tcPr>
          <w:p w14:paraId="58E7C31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Supplier and transaction; exact practice; reliance where required; loss; causation; accrual and timing</w:t>
            </w:r>
          </w:p>
        </w:tc>
      </w:tr>
      <w:tr w:rsidR="00756B19" w:rsidRPr="00566B6A" w14:paraId="4162E122" w14:textId="77777777">
        <w:trPr>
          <w:cantSplit/>
          <w:jc w:val="center"/>
        </w:trPr>
        <w:tc>
          <w:tcPr>
            <w:tcW w:w="1440" w:type="dxa"/>
            <w:shd w:val="clear" w:color="auto" w:fill="F7FAFC"/>
            <w:tcMar>
              <w:top w:w="50" w:type="dxa"/>
              <w:left w:w="55" w:type="dxa"/>
              <w:bottom w:w="50" w:type="dxa"/>
              <w:right w:w="55" w:type="dxa"/>
            </w:tcMar>
          </w:tcPr>
          <w:p w14:paraId="4B2CB4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shd w:val="clear" w:color="auto" w:fill="F7FAFC"/>
            <w:tcMar>
              <w:top w:w="50" w:type="dxa"/>
              <w:left w:w="55" w:type="dxa"/>
              <w:bottom w:w="50" w:type="dxa"/>
              <w:right w:w="55" w:type="dxa"/>
            </w:tcMar>
          </w:tcPr>
          <w:p w14:paraId="0D06FE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Code § 59.1-200; federal FDCPA</w:t>
            </w:r>
          </w:p>
        </w:tc>
        <w:tc>
          <w:tcPr>
            <w:tcW w:w="3168" w:type="dxa"/>
            <w:shd w:val="clear" w:color="auto" w:fill="F7FAFC"/>
            <w:tcMar>
              <w:top w:w="50" w:type="dxa"/>
              <w:left w:w="55" w:type="dxa"/>
              <w:bottom w:w="50" w:type="dxa"/>
              <w:right w:w="55" w:type="dxa"/>
            </w:tcMar>
          </w:tcPr>
          <w:p w14:paraId="6050DF6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Qualifying deceptive collection conduct and federal debt-collector duties</w:t>
            </w:r>
          </w:p>
        </w:tc>
        <w:tc>
          <w:tcPr>
            <w:tcW w:w="3456" w:type="dxa"/>
            <w:shd w:val="clear" w:color="auto" w:fill="F7FAFC"/>
            <w:tcMar>
              <w:top w:w="50" w:type="dxa"/>
              <w:left w:w="55" w:type="dxa"/>
              <w:bottom w:w="50" w:type="dxa"/>
              <w:right w:w="55" w:type="dxa"/>
            </w:tcMar>
          </w:tcPr>
          <w:p w14:paraId="199860D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VCPA individual/public relief where elements are met; separate federal remedies may apply</w:t>
            </w:r>
          </w:p>
        </w:tc>
        <w:tc>
          <w:tcPr>
            <w:tcW w:w="3888" w:type="dxa"/>
            <w:shd w:val="clear" w:color="auto" w:fill="F7FAFC"/>
            <w:tcMar>
              <w:top w:w="50" w:type="dxa"/>
              <w:left w:w="55" w:type="dxa"/>
              <w:bottom w:w="50" w:type="dxa"/>
              <w:right w:w="55" w:type="dxa"/>
            </w:tcMar>
          </w:tcPr>
          <w:p w14:paraId="05C714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and supplier status; communications; representations; dispute; balance and fee records</w:t>
            </w:r>
          </w:p>
        </w:tc>
      </w:tr>
      <w:tr w:rsidR="00756B19" w:rsidRPr="00566B6A" w14:paraId="72E0A1B7" w14:textId="77777777">
        <w:trPr>
          <w:cantSplit/>
          <w:jc w:val="center"/>
        </w:trPr>
        <w:tc>
          <w:tcPr>
            <w:tcW w:w="1440" w:type="dxa"/>
            <w:tcMar>
              <w:top w:w="50" w:type="dxa"/>
              <w:left w:w="55" w:type="dxa"/>
              <w:bottom w:w="50" w:type="dxa"/>
              <w:right w:w="55" w:type="dxa"/>
            </w:tcMar>
          </w:tcPr>
          <w:p w14:paraId="0963A54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EC94D8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Code §§ 59.1-444.1–444.2</w:t>
            </w:r>
          </w:p>
        </w:tc>
        <w:tc>
          <w:tcPr>
            <w:tcW w:w="3168" w:type="dxa"/>
            <w:tcMar>
              <w:top w:w="50" w:type="dxa"/>
              <w:left w:w="55" w:type="dxa"/>
              <w:bottom w:w="50" w:type="dxa"/>
              <w:right w:w="55" w:type="dxa"/>
            </w:tcMar>
          </w:tcPr>
          <w:p w14:paraId="1BB0AD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placement, lifting, removal, notices, and official-information changes</w:t>
            </w:r>
          </w:p>
        </w:tc>
        <w:tc>
          <w:tcPr>
            <w:tcW w:w="3456" w:type="dxa"/>
            <w:tcMar>
              <w:top w:w="50" w:type="dxa"/>
              <w:left w:w="55" w:type="dxa"/>
              <w:bottom w:w="50" w:type="dxa"/>
              <w:right w:w="55" w:type="dxa"/>
            </w:tcMar>
          </w:tcPr>
          <w:p w14:paraId="640794C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Willful or negligent civil relief; AG-exclusive relief for specified rapid-lift violations</w:t>
            </w:r>
          </w:p>
        </w:tc>
        <w:tc>
          <w:tcPr>
            <w:tcW w:w="3888" w:type="dxa"/>
            <w:tcMar>
              <w:top w:w="50" w:type="dxa"/>
              <w:left w:w="55" w:type="dxa"/>
              <w:bottom w:w="50" w:type="dxa"/>
              <w:right w:w="55" w:type="dxa"/>
            </w:tcMar>
          </w:tcPr>
          <w:p w14:paraId="11E3FF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PIN/password; requests; response times; release history; notice and damages</w:t>
            </w:r>
          </w:p>
        </w:tc>
      </w:tr>
      <w:tr w:rsidR="00756B19" w:rsidRPr="00566B6A" w14:paraId="0064A1ED" w14:textId="77777777">
        <w:trPr>
          <w:cantSplit/>
          <w:jc w:val="center"/>
        </w:trPr>
        <w:tc>
          <w:tcPr>
            <w:tcW w:w="1440" w:type="dxa"/>
            <w:shd w:val="clear" w:color="auto" w:fill="F7FAFC"/>
            <w:tcMar>
              <w:top w:w="50" w:type="dxa"/>
              <w:left w:w="55" w:type="dxa"/>
              <w:bottom w:w="50" w:type="dxa"/>
              <w:right w:w="55" w:type="dxa"/>
            </w:tcMar>
          </w:tcPr>
          <w:p w14:paraId="2EA8DF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1F9881A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Code § 18.2-186.6</w:t>
            </w:r>
          </w:p>
        </w:tc>
        <w:tc>
          <w:tcPr>
            <w:tcW w:w="3168" w:type="dxa"/>
            <w:shd w:val="clear" w:color="auto" w:fill="F7FAFC"/>
            <w:tcMar>
              <w:top w:w="50" w:type="dxa"/>
              <w:left w:w="55" w:type="dxa"/>
              <w:bottom w:w="50" w:type="dxa"/>
              <w:right w:w="55" w:type="dxa"/>
            </w:tcMar>
          </w:tcPr>
          <w:p w14:paraId="38B2ACC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notice to residents, AG, and qualifying nationwide CRAs</w:t>
            </w:r>
          </w:p>
        </w:tc>
        <w:tc>
          <w:tcPr>
            <w:tcW w:w="3456" w:type="dxa"/>
            <w:shd w:val="clear" w:color="auto" w:fill="F7FAFC"/>
            <w:tcMar>
              <w:top w:w="50" w:type="dxa"/>
              <w:left w:w="55" w:type="dxa"/>
              <w:bottom w:w="50" w:type="dxa"/>
              <w:right w:w="55" w:type="dxa"/>
            </w:tcMar>
          </w:tcPr>
          <w:p w14:paraId="399BF2B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action and up to $150,000 per breach/series; direct economic damages</w:t>
            </w:r>
          </w:p>
        </w:tc>
        <w:tc>
          <w:tcPr>
            <w:tcW w:w="3888" w:type="dxa"/>
            <w:shd w:val="clear" w:color="auto" w:fill="F7FAFC"/>
            <w:tcMar>
              <w:top w:w="50" w:type="dxa"/>
              <w:left w:w="55" w:type="dxa"/>
              <w:bottom w:w="50" w:type="dxa"/>
              <w:right w:w="55" w:type="dxa"/>
            </w:tcMar>
          </w:tcPr>
          <w:p w14:paraId="2EBC14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affected count; AG/CRA notice; investigation and remediation</w:t>
            </w:r>
          </w:p>
        </w:tc>
      </w:tr>
      <w:tr w:rsidR="00756B19" w:rsidRPr="00566B6A" w14:paraId="72C51610" w14:textId="77777777">
        <w:trPr>
          <w:cantSplit/>
          <w:jc w:val="center"/>
        </w:trPr>
        <w:tc>
          <w:tcPr>
            <w:tcW w:w="1440" w:type="dxa"/>
            <w:tcMar>
              <w:top w:w="50" w:type="dxa"/>
              <w:left w:w="55" w:type="dxa"/>
              <w:bottom w:w="50" w:type="dxa"/>
              <w:right w:w="55" w:type="dxa"/>
            </w:tcMar>
          </w:tcPr>
          <w:p w14:paraId="2FA4B88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48963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Code § 18.2-186.3</w:t>
            </w:r>
          </w:p>
        </w:tc>
        <w:tc>
          <w:tcPr>
            <w:tcW w:w="3168" w:type="dxa"/>
            <w:tcMar>
              <w:top w:w="50" w:type="dxa"/>
              <w:left w:w="55" w:type="dxa"/>
              <w:bottom w:w="50" w:type="dxa"/>
              <w:right w:w="55" w:type="dxa"/>
            </w:tcMar>
          </w:tcPr>
          <w:p w14:paraId="44B7D5E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restitution, and Attorney General victim assistance</w:t>
            </w:r>
          </w:p>
        </w:tc>
        <w:tc>
          <w:tcPr>
            <w:tcW w:w="3456" w:type="dxa"/>
            <w:tcMar>
              <w:top w:w="50" w:type="dxa"/>
              <w:left w:w="55" w:type="dxa"/>
              <w:bottom w:w="50" w:type="dxa"/>
              <w:right w:w="55" w:type="dxa"/>
            </w:tcMar>
          </w:tcPr>
          <w:p w14:paraId="5B951C6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restitution for correction expenses; victim assistance</w:t>
            </w:r>
          </w:p>
        </w:tc>
        <w:tc>
          <w:tcPr>
            <w:tcW w:w="3888" w:type="dxa"/>
            <w:tcMar>
              <w:top w:w="50" w:type="dxa"/>
              <w:left w:w="55" w:type="dxa"/>
              <w:bottom w:w="50" w:type="dxa"/>
              <w:right w:w="55" w:type="dxa"/>
            </w:tcMar>
          </w:tcPr>
          <w:p w14:paraId="026EE14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creditor/bureau notices; correction expenses; restitution record</w:t>
            </w:r>
          </w:p>
        </w:tc>
      </w:tr>
      <w:tr w:rsidR="00756B19" w:rsidRPr="00566B6A" w14:paraId="08D83458" w14:textId="77777777">
        <w:trPr>
          <w:cantSplit/>
          <w:jc w:val="center"/>
        </w:trPr>
        <w:tc>
          <w:tcPr>
            <w:tcW w:w="1440" w:type="dxa"/>
            <w:shd w:val="clear" w:color="auto" w:fill="F7FAFC"/>
            <w:tcMar>
              <w:top w:w="50" w:type="dxa"/>
              <w:left w:w="55" w:type="dxa"/>
              <w:bottom w:w="50" w:type="dxa"/>
              <w:right w:w="55" w:type="dxa"/>
            </w:tcMar>
          </w:tcPr>
          <w:p w14:paraId="0DEC69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419D6C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Virginia AG — Consumer Protection Section</w:t>
            </w:r>
          </w:p>
        </w:tc>
        <w:tc>
          <w:tcPr>
            <w:tcW w:w="3168" w:type="dxa"/>
            <w:shd w:val="clear" w:color="auto" w:fill="F7FAFC"/>
            <w:tcMar>
              <w:top w:w="50" w:type="dxa"/>
              <w:left w:w="55" w:type="dxa"/>
              <w:bottom w:w="50" w:type="dxa"/>
              <w:right w:w="55" w:type="dxa"/>
            </w:tcMar>
          </w:tcPr>
          <w:p w14:paraId="4F5865F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VCPA/public enforcement</w:t>
            </w:r>
          </w:p>
        </w:tc>
        <w:tc>
          <w:tcPr>
            <w:tcW w:w="3456" w:type="dxa"/>
            <w:shd w:val="clear" w:color="auto" w:fill="F7FAFC"/>
            <w:tcMar>
              <w:top w:w="50" w:type="dxa"/>
              <w:left w:w="55" w:type="dxa"/>
              <w:bottom w:w="50" w:type="dxa"/>
              <w:right w:w="55" w:type="dxa"/>
            </w:tcMar>
          </w:tcPr>
          <w:p w14:paraId="0D4D35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civil demands, injunction, restoration, penalties, costs, and fees</w:t>
            </w:r>
          </w:p>
        </w:tc>
        <w:tc>
          <w:tcPr>
            <w:tcW w:w="3888" w:type="dxa"/>
            <w:shd w:val="clear" w:color="auto" w:fill="F7FAFC"/>
            <w:tcMar>
              <w:top w:w="50" w:type="dxa"/>
              <w:left w:w="55" w:type="dxa"/>
              <w:bottom w:w="50" w:type="dxa"/>
              <w:right w:w="55" w:type="dxa"/>
            </w:tcMar>
          </w:tcPr>
          <w:p w14:paraId="65FF291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exhibits; agency response; chronology</w:t>
            </w:r>
          </w:p>
        </w:tc>
      </w:tr>
      <w:tr w:rsidR="00756B19" w:rsidRPr="00566B6A" w14:paraId="4949FC9E" w14:textId="77777777">
        <w:trPr>
          <w:cantSplit/>
          <w:jc w:val="center"/>
        </w:trPr>
        <w:tc>
          <w:tcPr>
            <w:tcW w:w="1440" w:type="dxa"/>
            <w:tcMar>
              <w:top w:w="50" w:type="dxa"/>
              <w:left w:w="55" w:type="dxa"/>
              <w:bottom w:w="50" w:type="dxa"/>
              <w:right w:w="55" w:type="dxa"/>
            </w:tcMar>
          </w:tcPr>
          <w:p w14:paraId="695CD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29C0768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Virginia SCC — Bureau of Financial Institutions</w:t>
            </w:r>
          </w:p>
        </w:tc>
        <w:tc>
          <w:tcPr>
            <w:tcW w:w="3168" w:type="dxa"/>
            <w:tcMar>
              <w:top w:w="50" w:type="dxa"/>
              <w:left w:w="55" w:type="dxa"/>
              <w:bottom w:w="50" w:type="dxa"/>
              <w:right w:w="55" w:type="dxa"/>
            </w:tcMar>
          </w:tcPr>
          <w:p w14:paraId="57906A1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Licensed or regulated lenders and financial-service entities</w:t>
            </w:r>
          </w:p>
        </w:tc>
        <w:tc>
          <w:tcPr>
            <w:tcW w:w="3456" w:type="dxa"/>
            <w:tcMar>
              <w:top w:w="50" w:type="dxa"/>
              <w:left w:w="55" w:type="dxa"/>
              <w:bottom w:w="50" w:type="dxa"/>
              <w:right w:w="55" w:type="dxa"/>
            </w:tcMar>
          </w:tcPr>
          <w:p w14:paraId="5A42EC0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review, examination, licensing, and administrative action where authorized</w:t>
            </w:r>
          </w:p>
        </w:tc>
        <w:tc>
          <w:tcPr>
            <w:tcW w:w="3888" w:type="dxa"/>
            <w:tcMar>
              <w:top w:w="50" w:type="dxa"/>
              <w:left w:w="55" w:type="dxa"/>
              <w:bottom w:w="50" w:type="dxa"/>
              <w:right w:w="55" w:type="dxa"/>
            </w:tcMar>
          </w:tcPr>
          <w:p w14:paraId="5465325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2DD7E568" w14:textId="77777777">
        <w:trPr>
          <w:cantSplit/>
          <w:jc w:val="center"/>
        </w:trPr>
        <w:tc>
          <w:tcPr>
            <w:tcW w:w="1440" w:type="dxa"/>
            <w:shd w:val="clear" w:color="auto" w:fill="F7FAFC"/>
            <w:tcMar>
              <w:top w:w="50" w:type="dxa"/>
              <w:left w:w="55" w:type="dxa"/>
              <w:bottom w:w="50" w:type="dxa"/>
              <w:right w:w="55" w:type="dxa"/>
            </w:tcMar>
          </w:tcPr>
          <w:p w14:paraId="366D034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0F2398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6399960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61E889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2C6B5CE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Virginia and federal frameworks</w:t>
            </w:r>
          </w:p>
        </w:tc>
      </w:tr>
      <w:tr w:rsidR="00756B19" w:rsidRPr="00566B6A" w14:paraId="0E8B4977" w14:textId="77777777">
        <w:trPr>
          <w:jc w:val="center"/>
        </w:trPr>
        <w:tc>
          <w:tcPr>
            <w:tcW w:w="1440" w:type="dxa"/>
          </w:tcPr>
          <w:p w14:paraId="4E88984D"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6947B3C9"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15 U.S.C. §§ 1681a(g), 1681e(b), </w:t>
            </w:r>
            <w:r w:rsidRPr="00566B6A">
              <w:rPr>
                <w:rFonts w:ascii="Courier New" w:hAnsi="Courier New" w:cs="Courier New"/>
                <w:sz w:val="22"/>
              </w:rPr>
              <w:lastRenderedPageBreak/>
              <w:t>1681g(a), 1681i(a), (d)</w:t>
            </w:r>
          </w:p>
        </w:tc>
        <w:tc>
          <w:tcPr>
            <w:tcW w:w="3168" w:type="dxa"/>
          </w:tcPr>
          <w:p w14:paraId="7EC922D9"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Personal identifiers and employer information in the consumer file; </w:t>
            </w:r>
            <w:r w:rsidRPr="00566B6A">
              <w:rPr>
                <w:rFonts w:ascii="Courier New" w:hAnsi="Courier New" w:cs="Courier New"/>
                <w:sz w:val="22"/>
              </w:rPr>
              <w:lastRenderedPageBreak/>
              <w:t>disclosure, accuracy, reinvestigation, correction, and deletion</w:t>
            </w:r>
          </w:p>
        </w:tc>
        <w:tc>
          <w:tcPr>
            <w:tcW w:w="3456" w:type="dxa"/>
          </w:tcPr>
          <w:p w14:paraId="054AD034"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Free reasonable reinvestigation; revised report; prompt deletion or modification of </w:t>
            </w:r>
            <w:r w:rsidRPr="00566B6A">
              <w:rPr>
                <w:rFonts w:ascii="Courier New" w:hAnsi="Courier New" w:cs="Courier New"/>
                <w:sz w:val="22"/>
              </w:rPr>
              <w:lastRenderedPageBreak/>
              <w:t>inaccurate, incomplete, or unverifiable information; reinsertion safeguards</w:t>
            </w:r>
          </w:p>
        </w:tc>
        <w:tc>
          <w:tcPr>
            <w:tcW w:w="3888" w:type="dxa"/>
          </w:tcPr>
          <w:p w14:paraId="222207A0"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Credit-report page; proof of identity/current address; employer records; source request; dispute </w:t>
            </w:r>
            <w:r w:rsidRPr="00566B6A">
              <w:rPr>
                <w:rFonts w:ascii="Courier New" w:hAnsi="Courier New" w:cs="Courier New"/>
                <w:sz w:val="22"/>
              </w:rPr>
              <w:lastRenderedPageBreak/>
              <w:t>confirmation; revised report</w:t>
            </w:r>
          </w:p>
        </w:tc>
      </w:tr>
      <w:tr w:rsidR="00756B19" w:rsidRPr="00566B6A" w14:paraId="02A7920B" w14:textId="77777777">
        <w:trPr>
          <w:jc w:val="center"/>
        </w:trPr>
        <w:tc>
          <w:tcPr>
            <w:tcW w:w="1440" w:type="dxa"/>
          </w:tcPr>
          <w:p w14:paraId="108E0086"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32B6C130"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281E243B"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2760C473"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465D4186"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5382841F" w14:textId="77777777">
        <w:trPr>
          <w:jc w:val="center"/>
        </w:trPr>
        <w:tc>
          <w:tcPr>
            <w:tcW w:w="1440" w:type="dxa"/>
          </w:tcPr>
          <w:p w14:paraId="719A53BC"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488B45CA"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0135EB"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237E428D"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3DCBEE52"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51138C47"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75F952A9"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Virginia (VA)</w:t>
      </w:r>
    </w:p>
    <w:p w14:paraId="78E5198C"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Sayyed is a Fourth Circuit FDCPA decision and does not create a Virginia VCPA debt-collection claim.</w:t>
      </w:r>
    </w:p>
    <w:p w14:paraId="08120F51"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3E24BDD8" w14:textId="77777777">
        <w:trPr>
          <w:cantSplit/>
          <w:tblHeader/>
          <w:jc w:val="center"/>
        </w:trPr>
        <w:tc>
          <w:tcPr>
            <w:tcW w:w="2232" w:type="dxa"/>
            <w:shd w:val="clear" w:color="auto" w:fill="D9EAF7"/>
            <w:tcMar>
              <w:top w:w="55" w:type="dxa"/>
              <w:left w:w="55" w:type="dxa"/>
              <w:bottom w:w="55" w:type="dxa"/>
              <w:right w:w="55" w:type="dxa"/>
            </w:tcMar>
            <w:vAlign w:val="center"/>
          </w:tcPr>
          <w:p w14:paraId="37E248D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11B66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658F53C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468DC25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4765ADF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2D0C51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97A4868" w14:textId="77777777">
        <w:trPr>
          <w:cantSplit/>
          <w:jc w:val="center"/>
        </w:trPr>
        <w:tc>
          <w:tcPr>
            <w:tcW w:w="2232" w:type="dxa"/>
            <w:tcMar>
              <w:top w:w="50" w:type="dxa"/>
              <w:left w:w="55" w:type="dxa"/>
              <w:bottom w:w="50" w:type="dxa"/>
              <w:right w:w="55" w:type="dxa"/>
            </w:tcMar>
          </w:tcPr>
          <w:p w14:paraId="2293E8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Ballagh v. Fauber Enters., Inc.</w:t>
            </w:r>
          </w:p>
        </w:tc>
        <w:tc>
          <w:tcPr>
            <w:tcW w:w="1152" w:type="dxa"/>
            <w:tcMar>
              <w:top w:w="50" w:type="dxa"/>
              <w:left w:w="55" w:type="dxa"/>
              <w:bottom w:w="50" w:type="dxa"/>
              <w:right w:w="55" w:type="dxa"/>
            </w:tcMar>
          </w:tcPr>
          <w:p w14:paraId="1F56D87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Sup. Ct.</w:t>
            </w:r>
          </w:p>
        </w:tc>
        <w:tc>
          <w:tcPr>
            <w:tcW w:w="748" w:type="dxa"/>
            <w:tcMar>
              <w:top w:w="50" w:type="dxa"/>
              <w:left w:w="55" w:type="dxa"/>
              <w:bottom w:w="50" w:type="dxa"/>
              <w:right w:w="55" w:type="dxa"/>
            </w:tcMar>
          </w:tcPr>
          <w:p w14:paraId="61BA23F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3D02AE6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290 Va. 120, 773 S.E.2d 366</w:t>
            </w:r>
          </w:p>
        </w:tc>
        <w:tc>
          <w:tcPr>
            <w:tcW w:w="4536" w:type="dxa"/>
            <w:tcMar>
              <w:top w:w="50" w:type="dxa"/>
              <w:left w:w="55" w:type="dxa"/>
              <w:bottom w:w="50" w:type="dxa"/>
              <w:right w:w="55" w:type="dxa"/>
            </w:tcMar>
          </w:tcPr>
          <w:p w14:paraId="2AEA2A1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VCPA claims are statutory and distinct from common-law fraud; the proof standard is preponderance of the evidence.</w:t>
            </w:r>
          </w:p>
        </w:tc>
        <w:tc>
          <w:tcPr>
            <w:tcW w:w="3643" w:type="dxa"/>
            <w:tcMar>
              <w:top w:w="50" w:type="dxa"/>
              <w:left w:w="55" w:type="dxa"/>
              <w:bottom w:w="50" w:type="dxa"/>
              <w:right w:w="55" w:type="dxa"/>
            </w:tcMar>
          </w:tcPr>
          <w:p w14:paraId="745DB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 59.1-200 practice and preserve transaction, communication, causation, and loss evidence.</w:t>
            </w:r>
          </w:p>
        </w:tc>
      </w:tr>
      <w:tr w:rsidR="00756B19" w:rsidRPr="00566B6A" w14:paraId="39B363DD" w14:textId="77777777">
        <w:trPr>
          <w:cantSplit/>
          <w:jc w:val="center"/>
        </w:trPr>
        <w:tc>
          <w:tcPr>
            <w:tcW w:w="2232" w:type="dxa"/>
            <w:shd w:val="clear" w:color="auto" w:fill="F7FAFC"/>
            <w:tcMar>
              <w:top w:w="50" w:type="dxa"/>
              <w:left w:w="55" w:type="dxa"/>
              <w:bottom w:w="50" w:type="dxa"/>
              <w:right w:w="55" w:type="dxa"/>
            </w:tcMar>
          </w:tcPr>
          <w:p w14:paraId="7338964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Owens v. DRS Auto. Fantomworks, Inc.</w:t>
            </w:r>
          </w:p>
        </w:tc>
        <w:tc>
          <w:tcPr>
            <w:tcW w:w="1152" w:type="dxa"/>
            <w:shd w:val="clear" w:color="auto" w:fill="F7FAFC"/>
            <w:tcMar>
              <w:top w:w="50" w:type="dxa"/>
              <w:left w:w="55" w:type="dxa"/>
              <w:bottom w:w="50" w:type="dxa"/>
              <w:right w:w="55" w:type="dxa"/>
            </w:tcMar>
          </w:tcPr>
          <w:p w14:paraId="5CE9C2C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Sup. Ct.</w:t>
            </w:r>
          </w:p>
        </w:tc>
        <w:tc>
          <w:tcPr>
            <w:tcW w:w="748" w:type="dxa"/>
            <w:shd w:val="clear" w:color="auto" w:fill="F7FAFC"/>
            <w:tcMar>
              <w:top w:w="50" w:type="dxa"/>
              <w:left w:w="55" w:type="dxa"/>
              <w:bottom w:w="50" w:type="dxa"/>
              <w:right w:w="55" w:type="dxa"/>
            </w:tcMar>
          </w:tcPr>
          <w:p w14:paraId="0EE189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shd w:val="clear" w:color="auto" w:fill="F7FAFC"/>
            <w:tcMar>
              <w:top w:w="50" w:type="dxa"/>
              <w:left w:w="55" w:type="dxa"/>
              <w:bottom w:w="50" w:type="dxa"/>
              <w:right w:w="55" w:type="dxa"/>
            </w:tcMar>
          </w:tcPr>
          <w:p w14:paraId="7D6BC6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288 Va. 489, 764 S.E.2d 256</w:t>
            </w:r>
          </w:p>
        </w:tc>
        <w:tc>
          <w:tcPr>
            <w:tcW w:w="4536" w:type="dxa"/>
            <w:shd w:val="clear" w:color="auto" w:fill="F7FAFC"/>
            <w:tcMar>
              <w:top w:w="50" w:type="dxa"/>
              <w:left w:w="55" w:type="dxa"/>
              <w:bottom w:w="50" w:type="dxa"/>
              <w:right w:w="55" w:type="dxa"/>
            </w:tcMar>
          </w:tcPr>
          <w:p w14:paraId="2A99E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VCPA extends beyond fraud, but § 59.1-204 still requires an actionable practice, applicable reliance, resulting loss, and damages.</w:t>
            </w:r>
          </w:p>
        </w:tc>
        <w:tc>
          <w:tcPr>
            <w:tcW w:w="3643" w:type="dxa"/>
            <w:shd w:val="clear" w:color="auto" w:fill="F7FAFC"/>
            <w:tcMar>
              <w:top w:w="50" w:type="dxa"/>
              <w:left w:w="55" w:type="dxa"/>
              <w:bottom w:w="50" w:type="dxa"/>
              <w:right w:w="55" w:type="dxa"/>
            </w:tcMar>
          </w:tcPr>
          <w:p w14:paraId="6DFA62F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Avoid conjecture; preserve contracts, invoices, representations, payments, reliance, and measurable loss.</w:t>
            </w:r>
          </w:p>
        </w:tc>
      </w:tr>
    </w:tbl>
    <w:p w14:paraId="320AEFBA" w14:textId="77777777" w:rsidR="00756B19" w:rsidRPr="00566B6A" w:rsidRDefault="00756B19">
      <w:pPr>
        <w:spacing w:after="20"/>
        <w:rPr>
          <w:rFonts w:ascii="Courier New" w:hAnsi="Courier New" w:cs="Courier New"/>
          <w:sz w:val="22"/>
        </w:rPr>
      </w:pPr>
    </w:p>
    <w:p w14:paraId="689B6F43"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65B555EE" w14:textId="77777777">
        <w:trPr>
          <w:cantSplit/>
          <w:tblHeader/>
          <w:jc w:val="center"/>
        </w:trPr>
        <w:tc>
          <w:tcPr>
            <w:tcW w:w="2232" w:type="dxa"/>
            <w:shd w:val="clear" w:color="auto" w:fill="D9EAF7"/>
            <w:tcMar>
              <w:top w:w="55" w:type="dxa"/>
              <w:left w:w="55" w:type="dxa"/>
              <w:bottom w:w="55" w:type="dxa"/>
              <w:right w:w="55" w:type="dxa"/>
            </w:tcMar>
            <w:vAlign w:val="center"/>
          </w:tcPr>
          <w:p w14:paraId="2E083C2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0CF768D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A7E22C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2408ECE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0574639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5D1E126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1361C116" w14:textId="77777777">
        <w:trPr>
          <w:cantSplit/>
          <w:jc w:val="center"/>
        </w:trPr>
        <w:tc>
          <w:tcPr>
            <w:tcW w:w="2232" w:type="dxa"/>
            <w:tcMar>
              <w:top w:w="50" w:type="dxa"/>
              <w:left w:w="55" w:type="dxa"/>
              <w:bottom w:w="50" w:type="dxa"/>
              <w:right w:w="55" w:type="dxa"/>
            </w:tcMar>
          </w:tcPr>
          <w:p w14:paraId="78AE7B1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Sayyed v. Wolpoff &amp; Abramson</w:t>
            </w:r>
          </w:p>
        </w:tc>
        <w:tc>
          <w:tcPr>
            <w:tcW w:w="1152" w:type="dxa"/>
            <w:tcMar>
              <w:top w:w="50" w:type="dxa"/>
              <w:left w:w="55" w:type="dxa"/>
              <w:bottom w:w="50" w:type="dxa"/>
              <w:right w:w="55" w:type="dxa"/>
            </w:tcMar>
          </w:tcPr>
          <w:p w14:paraId="58B587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4th Cir.</w:t>
            </w:r>
          </w:p>
        </w:tc>
        <w:tc>
          <w:tcPr>
            <w:tcW w:w="748" w:type="dxa"/>
            <w:tcMar>
              <w:top w:w="50" w:type="dxa"/>
              <w:left w:w="55" w:type="dxa"/>
              <w:bottom w:w="50" w:type="dxa"/>
              <w:right w:w="55" w:type="dxa"/>
            </w:tcMar>
          </w:tcPr>
          <w:p w14:paraId="47094D9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tcMar>
              <w:top w:w="50" w:type="dxa"/>
              <w:left w:w="55" w:type="dxa"/>
              <w:bottom w:w="50" w:type="dxa"/>
              <w:right w:w="55" w:type="dxa"/>
            </w:tcMar>
          </w:tcPr>
          <w:p w14:paraId="4AF268F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485 F.3d 226</w:t>
            </w:r>
          </w:p>
        </w:tc>
        <w:tc>
          <w:tcPr>
            <w:tcW w:w="4536" w:type="dxa"/>
            <w:tcMar>
              <w:top w:w="50" w:type="dxa"/>
              <w:left w:w="55" w:type="dxa"/>
              <w:bottom w:w="50" w:type="dxa"/>
              <w:right w:w="55" w:type="dxa"/>
            </w:tcMar>
          </w:tcPr>
          <w:p w14:paraId="50B237D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FDCPA applies to qualifying lawyers’ litigation activity; there is no blanket common-law litigation immunity.</w:t>
            </w:r>
          </w:p>
        </w:tc>
        <w:tc>
          <w:tcPr>
            <w:tcW w:w="3643" w:type="dxa"/>
            <w:tcMar>
              <w:top w:w="50" w:type="dxa"/>
              <w:left w:w="55" w:type="dxa"/>
              <w:bottom w:w="50" w:type="dxa"/>
              <w:right w:w="55" w:type="dxa"/>
            </w:tcMar>
          </w:tcPr>
          <w:p w14:paraId="6014A7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pleadings, affidavits, discovery, fee authority, balances, communications, and collector-status proof.</w:t>
            </w:r>
          </w:p>
        </w:tc>
      </w:tr>
    </w:tbl>
    <w:p w14:paraId="28391341" w14:textId="77777777" w:rsidR="00756B19" w:rsidRPr="00566B6A" w:rsidRDefault="00756B19">
      <w:pPr>
        <w:spacing w:after="20"/>
        <w:rPr>
          <w:rFonts w:ascii="Courier New" w:hAnsi="Courier New" w:cs="Courier New"/>
          <w:sz w:val="22"/>
        </w:rPr>
      </w:pPr>
    </w:p>
    <w:p w14:paraId="30A4692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1082C3" w14:textId="77777777">
        <w:trPr>
          <w:cantSplit/>
          <w:tblHeader/>
          <w:jc w:val="center"/>
        </w:trPr>
        <w:tc>
          <w:tcPr>
            <w:tcW w:w="2232" w:type="dxa"/>
            <w:shd w:val="clear" w:color="auto" w:fill="D9EAF7"/>
            <w:tcMar>
              <w:top w:w="55" w:type="dxa"/>
              <w:left w:w="55" w:type="dxa"/>
              <w:bottom w:w="55" w:type="dxa"/>
              <w:right w:w="55" w:type="dxa"/>
            </w:tcMar>
            <w:vAlign w:val="center"/>
          </w:tcPr>
          <w:p w14:paraId="2E639E8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EC6010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D215A4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13914A9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47E7FC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9E075B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5B5E7E96" w14:textId="77777777">
        <w:trPr>
          <w:cantSplit/>
          <w:jc w:val="center"/>
        </w:trPr>
        <w:tc>
          <w:tcPr>
            <w:tcW w:w="2232" w:type="dxa"/>
            <w:tcMar>
              <w:top w:w="50" w:type="dxa"/>
              <w:left w:w="55" w:type="dxa"/>
              <w:bottom w:w="50" w:type="dxa"/>
              <w:right w:w="55" w:type="dxa"/>
            </w:tcMar>
          </w:tcPr>
          <w:p w14:paraId="4B753CC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Ballagh v. Fauber Enters., Inc.</w:t>
            </w:r>
          </w:p>
        </w:tc>
        <w:tc>
          <w:tcPr>
            <w:tcW w:w="1152" w:type="dxa"/>
            <w:tcMar>
              <w:top w:w="50" w:type="dxa"/>
              <w:left w:w="55" w:type="dxa"/>
              <w:bottom w:w="50" w:type="dxa"/>
              <w:right w:w="55" w:type="dxa"/>
            </w:tcMar>
          </w:tcPr>
          <w:p w14:paraId="6BAA1C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Sup. Ct.</w:t>
            </w:r>
          </w:p>
        </w:tc>
        <w:tc>
          <w:tcPr>
            <w:tcW w:w="748" w:type="dxa"/>
            <w:tcMar>
              <w:top w:w="50" w:type="dxa"/>
              <w:left w:w="55" w:type="dxa"/>
              <w:bottom w:w="50" w:type="dxa"/>
              <w:right w:w="55" w:type="dxa"/>
            </w:tcMar>
          </w:tcPr>
          <w:p w14:paraId="780C86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1397401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290 Va. 120, 773 S.E.2d 366</w:t>
            </w:r>
          </w:p>
        </w:tc>
        <w:tc>
          <w:tcPr>
            <w:tcW w:w="4536" w:type="dxa"/>
            <w:tcMar>
              <w:top w:w="50" w:type="dxa"/>
              <w:left w:w="55" w:type="dxa"/>
              <w:bottom w:w="50" w:type="dxa"/>
              <w:right w:w="55" w:type="dxa"/>
            </w:tcMar>
          </w:tcPr>
          <w:p w14:paraId="2C8270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VCPA claims are statutory and distinct from common-law fraud; the proof standard is preponderance of the evidence.</w:t>
            </w:r>
          </w:p>
        </w:tc>
        <w:tc>
          <w:tcPr>
            <w:tcW w:w="3643" w:type="dxa"/>
            <w:tcMar>
              <w:top w:w="50" w:type="dxa"/>
              <w:left w:w="55" w:type="dxa"/>
              <w:bottom w:w="50" w:type="dxa"/>
              <w:right w:w="55" w:type="dxa"/>
            </w:tcMar>
          </w:tcPr>
          <w:p w14:paraId="23219B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 59.1-200 practice and preserve transaction, communication, causation, and loss evidence.</w:t>
            </w:r>
          </w:p>
        </w:tc>
      </w:tr>
      <w:tr w:rsidR="00756B19" w:rsidRPr="00566B6A" w14:paraId="6712F130" w14:textId="77777777">
        <w:trPr>
          <w:cantSplit/>
          <w:jc w:val="center"/>
        </w:trPr>
        <w:tc>
          <w:tcPr>
            <w:tcW w:w="2232" w:type="dxa"/>
            <w:shd w:val="clear" w:color="auto" w:fill="F7FAFC"/>
            <w:tcMar>
              <w:top w:w="50" w:type="dxa"/>
              <w:left w:w="55" w:type="dxa"/>
              <w:bottom w:w="50" w:type="dxa"/>
              <w:right w:w="55" w:type="dxa"/>
            </w:tcMar>
          </w:tcPr>
          <w:p w14:paraId="532B1D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Owens v. DRS Auto. Fantomworks, Inc.</w:t>
            </w:r>
          </w:p>
        </w:tc>
        <w:tc>
          <w:tcPr>
            <w:tcW w:w="1152" w:type="dxa"/>
            <w:shd w:val="clear" w:color="auto" w:fill="F7FAFC"/>
            <w:tcMar>
              <w:top w:w="50" w:type="dxa"/>
              <w:left w:w="55" w:type="dxa"/>
              <w:bottom w:w="50" w:type="dxa"/>
              <w:right w:w="55" w:type="dxa"/>
            </w:tcMar>
          </w:tcPr>
          <w:p w14:paraId="38199A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Sup. Ct.</w:t>
            </w:r>
          </w:p>
        </w:tc>
        <w:tc>
          <w:tcPr>
            <w:tcW w:w="748" w:type="dxa"/>
            <w:shd w:val="clear" w:color="auto" w:fill="F7FAFC"/>
            <w:tcMar>
              <w:top w:w="50" w:type="dxa"/>
              <w:left w:w="55" w:type="dxa"/>
              <w:bottom w:w="50" w:type="dxa"/>
              <w:right w:w="55" w:type="dxa"/>
            </w:tcMar>
          </w:tcPr>
          <w:p w14:paraId="495BC3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shd w:val="clear" w:color="auto" w:fill="F7FAFC"/>
            <w:tcMar>
              <w:top w:w="50" w:type="dxa"/>
              <w:left w:w="55" w:type="dxa"/>
              <w:bottom w:w="50" w:type="dxa"/>
              <w:right w:w="55" w:type="dxa"/>
            </w:tcMar>
          </w:tcPr>
          <w:p w14:paraId="60779FF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288 Va. 489, 764 S.E.2d 256</w:t>
            </w:r>
          </w:p>
        </w:tc>
        <w:tc>
          <w:tcPr>
            <w:tcW w:w="4536" w:type="dxa"/>
            <w:shd w:val="clear" w:color="auto" w:fill="F7FAFC"/>
            <w:tcMar>
              <w:top w:w="50" w:type="dxa"/>
              <w:left w:w="55" w:type="dxa"/>
              <w:bottom w:w="50" w:type="dxa"/>
              <w:right w:w="55" w:type="dxa"/>
            </w:tcMar>
          </w:tcPr>
          <w:p w14:paraId="68412D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VCPA extends beyond fraud, but § 59.1-204 still requires an actionable practice, applicable reliance, resulting loss, and damages.</w:t>
            </w:r>
          </w:p>
        </w:tc>
        <w:tc>
          <w:tcPr>
            <w:tcW w:w="3643" w:type="dxa"/>
            <w:shd w:val="clear" w:color="auto" w:fill="F7FAFC"/>
            <w:tcMar>
              <w:top w:w="50" w:type="dxa"/>
              <w:left w:w="55" w:type="dxa"/>
              <w:bottom w:w="50" w:type="dxa"/>
              <w:right w:w="55" w:type="dxa"/>
            </w:tcMar>
          </w:tcPr>
          <w:p w14:paraId="278CFE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Avoid conjecture; preserve contracts, invoices, representations, payments, reliance, and measurable loss.</w:t>
            </w:r>
          </w:p>
        </w:tc>
      </w:tr>
      <w:tr w:rsidR="00756B19" w:rsidRPr="00566B6A" w14:paraId="1BF1A111" w14:textId="77777777">
        <w:trPr>
          <w:cantSplit/>
          <w:jc w:val="center"/>
        </w:trPr>
        <w:tc>
          <w:tcPr>
            <w:tcW w:w="2232" w:type="dxa"/>
            <w:tcMar>
              <w:top w:w="50" w:type="dxa"/>
              <w:left w:w="55" w:type="dxa"/>
              <w:bottom w:w="50" w:type="dxa"/>
              <w:right w:w="55" w:type="dxa"/>
            </w:tcMar>
          </w:tcPr>
          <w:p w14:paraId="5CBB9D1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Sayyed v. Wolpoff &amp; Abramson</w:t>
            </w:r>
          </w:p>
        </w:tc>
        <w:tc>
          <w:tcPr>
            <w:tcW w:w="1152" w:type="dxa"/>
            <w:tcMar>
              <w:top w:w="50" w:type="dxa"/>
              <w:left w:w="55" w:type="dxa"/>
              <w:bottom w:w="50" w:type="dxa"/>
              <w:right w:w="55" w:type="dxa"/>
            </w:tcMar>
          </w:tcPr>
          <w:p w14:paraId="2485A53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4th Cir.</w:t>
            </w:r>
          </w:p>
        </w:tc>
        <w:tc>
          <w:tcPr>
            <w:tcW w:w="748" w:type="dxa"/>
            <w:tcMar>
              <w:top w:w="50" w:type="dxa"/>
              <w:left w:w="55" w:type="dxa"/>
              <w:bottom w:w="50" w:type="dxa"/>
              <w:right w:w="55" w:type="dxa"/>
            </w:tcMar>
          </w:tcPr>
          <w:p w14:paraId="361F00A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tcMar>
              <w:top w:w="50" w:type="dxa"/>
              <w:left w:w="55" w:type="dxa"/>
              <w:bottom w:w="50" w:type="dxa"/>
              <w:right w:w="55" w:type="dxa"/>
            </w:tcMar>
          </w:tcPr>
          <w:p w14:paraId="5E67B9F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485 F.3d 226</w:t>
            </w:r>
          </w:p>
        </w:tc>
        <w:tc>
          <w:tcPr>
            <w:tcW w:w="4536" w:type="dxa"/>
            <w:tcMar>
              <w:top w:w="50" w:type="dxa"/>
              <w:left w:w="55" w:type="dxa"/>
              <w:bottom w:w="50" w:type="dxa"/>
              <w:right w:w="55" w:type="dxa"/>
            </w:tcMar>
          </w:tcPr>
          <w:p w14:paraId="4C56094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FDCPA applies to qualifying lawyers’ litigation activity; there is no blanket common-law litigation immunity.</w:t>
            </w:r>
          </w:p>
        </w:tc>
        <w:tc>
          <w:tcPr>
            <w:tcW w:w="3643" w:type="dxa"/>
            <w:tcMar>
              <w:top w:w="50" w:type="dxa"/>
              <w:left w:w="55" w:type="dxa"/>
              <w:bottom w:w="50" w:type="dxa"/>
              <w:right w:w="55" w:type="dxa"/>
            </w:tcMar>
          </w:tcPr>
          <w:p w14:paraId="1BAECC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pleadings, affidavits, discovery, fee authority, balances, communications, and collector-status proof.</w:t>
            </w:r>
          </w:p>
        </w:tc>
      </w:tr>
    </w:tbl>
    <w:p w14:paraId="1FBCCF50" w14:textId="77777777" w:rsidR="00756B19" w:rsidRPr="00566B6A" w:rsidRDefault="00756B19">
      <w:pPr>
        <w:spacing w:after="20"/>
        <w:rPr>
          <w:rFonts w:ascii="Courier New" w:hAnsi="Courier New" w:cs="Courier New"/>
          <w:sz w:val="22"/>
        </w:rPr>
      </w:pPr>
    </w:p>
    <w:p w14:paraId="2969E424"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5E61F5C5"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6F1E655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7C22FEE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659A5350"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nationwide CRA and furnisher duties concerning accuracy, reinvestigation, dispute processing, furnishing, and identity-theft blocking. Virginia claims that duplicate or conflict with those duties may be preemption-sensitive.</w:t>
      </w:r>
    </w:p>
    <w:p w14:paraId="6C7B0B16" w14:textId="77777777" w:rsidR="00964317" w:rsidRPr="00566B6A" w:rsidRDefault="00964317">
      <w:pPr>
        <w:spacing w:after="60"/>
        <w:rPr>
          <w:rFonts w:ascii="Courier New" w:hAnsi="Courier New" w:cs="Courier New"/>
          <w:sz w:val="22"/>
        </w:rPr>
      </w:pPr>
    </w:p>
    <w:p w14:paraId="476541D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5274B2A2" w14:textId="77777777">
        <w:trPr>
          <w:cantSplit/>
          <w:tblHeader/>
          <w:jc w:val="center"/>
        </w:trPr>
        <w:tc>
          <w:tcPr>
            <w:tcW w:w="2232" w:type="dxa"/>
            <w:shd w:val="clear" w:color="auto" w:fill="D9EAF7"/>
            <w:tcMar>
              <w:top w:w="55" w:type="dxa"/>
              <w:left w:w="55" w:type="dxa"/>
              <w:bottom w:w="55" w:type="dxa"/>
              <w:right w:w="55" w:type="dxa"/>
            </w:tcMar>
            <w:vAlign w:val="center"/>
          </w:tcPr>
          <w:p w14:paraId="129B3F2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68D28C8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Virginia Authority</w:t>
            </w:r>
          </w:p>
        </w:tc>
        <w:tc>
          <w:tcPr>
            <w:tcW w:w="1080" w:type="dxa"/>
            <w:shd w:val="clear" w:color="auto" w:fill="D9EAF7"/>
            <w:tcMar>
              <w:top w:w="55" w:type="dxa"/>
              <w:left w:w="55" w:type="dxa"/>
              <w:bottom w:w="55" w:type="dxa"/>
              <w:right w:w="55" w:type="dxa"/>
            </w:tcMar>
            <w:vAlign w:val="center"/>
          </w:tcPr>
          <w:p w14:paraId="70666E0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249747C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AAA4DB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57F904F6" w14:textId="77777777">
        <w:trPr>
          <w:cantSplit/>
          <w:jc w:val="center"/>
        </w:trPr>
        <w:tc>
          <w:tcPr>
            <w:tcW w:w="2232" w:type="dxa"/>
            <w:tcMar>
              <w:top w:w="50" w:type="dxa"/>
              <w:left w:w="55" w:type="dxa"/>
              <w:bottom w:w="50" w:type="dxa"/>
              <w:right w:w="55" w:type="dxa"/>
            </w:tcMar>
          </w:tcPr>
          <w:p w14:paraId="61F5D7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F5663F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Code §§ 59.1-444.1–444.2 address freezes; federal FCRA supplies general accuracy duties</w:t>
            </w:r>
          </w:p>
        </w:tc>
        <w:tc>
          <w:tcPr>
            <w:tcW w:w="1080" w:type="dxa"/>
            <w:tcMar>
              <w:top w:w="50" w:type="dxa"/>
              <w:left w:w="55" w:type="dxa"/>
              <w:bottom w:w="50" w:type="dxa"/>
              <w:right w:w="55" w:type="dxa"/>
            </w:tcMar>
          </w:tcPr>
          <w:p w14:paraId="2046B04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52E4BB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2BFB04E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federal dispute and verification records; do not convert freeze duties into general state accuracy duties.</w:t>
            </w:r>
          </w:p>
        </w:tc>
      </w:tr>
      <w:tr w:rsidR="00756B19" w:rsidRPr="00566B6A" w14:paraId="2995BD56" w14:textId="77777777">
        <w:trPr>
          <w:cantSplit/>
          <w:jc w:val="center"/>
        </w:trPr>
        <w:tc>
          <w:tcPr>
            <w:tcW w:w="2232" w:type="dxa"/>
            <w:shd w:val="clear" w:color="auto" w:fill="F7FAFC"/>
            <w:tcMar>
              <w:top w:w="50" w:type="dxa"/>
              <w:left w:w="55" w:type="dxa"/>
              <w:bottom w:w="50" w:type="dxa"/>
              <w:right w:w="55" w:type="dxa"/>
            </w:tcMar>
          </w:tcPr>
          <w:p w14:paraId="07403DC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468F41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Virginia claims only for independently actionable conduct</w:t>
            </w:r>
          </w:p>
        </w:tc>
        <w:tc>
          <w:tcPr>
            <w:tcW w:w="1080" w:type="dxa"/>
            <w:shd w:val="clear" w:color="auto" w:fill="F7FAFC"/>
            <w:tcMar>
              <w:top w:w="50" w:type="dxa"/>
              <w:left w:w="55" w:type="dxa"/>
              <w:bottom w:w="50" w:type="dxa"/>
              <w:right w:w="55" w:type="dxa"/>
            </w:tcMar>
          </w:tcPr>
          <w:p w14:paraId="00DE2F6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6CC2D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420A8B7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the bureau-dispute notice trail; separate collection or transaction deception.</w:t>
            </w:r>
          </w:p>
        </w:tc>
      </w:tr>
      <w:tr w:rsidR="00756B19" w:rsidRPr="00566B6A" w14:paraId="6CBB096B" w14:textId="77777777">
        <w:trPr>
          <w:cantSplit/>
          <w:jc w:val="center"/>
        </w:trPr>
        <w:tc>
          <w:tcPr>
            <w:tcW w:w="2232" w:type="dxa"/>
            <w:tcMar>
              <w:top w:w="50" w:type="dxa"/>
              <w:left w:w="55" w:type="dxa"/>
              <w:bottom w:w="50" w:type="dxa"/>
              <w:right w:w="55" w:type="dxa"/>
            </w:tcMar>
          </w:tcPr>
          <w:p w14:paraId="708D42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764DE1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Code § 18.2-186.3; federal FCRA</w:t>
            </w:r>
          </w:p>
        </w:tc>
        <w:tc>
          <w:tcPr>
            <w:tcW w:w="1080" w:type="dxa"/>
            <w:tcMar>
              <w:top w:w="50" w:type="dxa"/>
              <w:left w:w="55" w:type="dxa"/>
              <w:bottom w:w="50" w:type="dxa"/>
              <w:right w:w="55" w:type="dxa"/>
            </w:tcMar>
          </w:tcPr>
          <w:p w14:paraId="24E235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153392D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7695D28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AG assistance records, freezes, correction expenses, and federal blocking requests.</w:t>
            </w:r>
          </w:p>
        </w:tc>
      </w:tr>
      <w:tr w:rsidR="00756B19" w:rsidRPr="00566B6A" w14:paraId="0A9839EC" w14:textId="77777777">
        <w:trPr>
          <w:cantSplit/>
          <w:jc w:val="center"/>
        </w:trPr>
        <w:tc>
          <w:tcPr>
            <w:tcW w:w="2232" w:type="dxa"/>
            <w:shd w:val="clear" w:color="auto" w:fill="F7FAFC"/>
            <w:tcMar>
              <w:top w:w="50" w:type="dxa"/>
              <w:left w:w="55" w:type="dxa"/>
              <w:bottom w:w="50" w:type="dxa"/>
              <w:right w:w="55" w:type="dxa"/>
            </w:tcMar>
          </w:tcPr>
          <w:p w14:paraId="5E652F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6ADC35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Code § 59.1-200; federal FDCPA</w:t>
            </w:r>
          </w:p>
        </w:tc>
        <w:tc>
          <w:tcPr>
            <w:tcW w:w="1080" w:type="dxa"/>
            <w:shd w:val="clear" w:color="auto" w:fill="F7FAFC"/>
            <w:tcMar>
              <w:top w:w="50" w:type="dxa"/>
              <w:left w:w="55" w:type="dxa"/>
              <w:bottom w:w="50" w:type="dxa"/>
              <w:right w:w="55" w:type="dxa"/>
            </w:tcMar>
          </w:tcPr>
          <w:p w14:paraId="1CF9FD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3D7631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shd w:val="clear" w:color="auto" w:fill="F7FAFC"/>
            <w:tcMar>
              <w:top w:w="50" w:type="dxa"/>
              <w:left w:w="55" w:type="dxa"/>
              <w:bottom w:w="50" w:type="dxa"/>
              <w:right w:w="55" w:type="dxa"/>
            </w:tcMar>
          </w:tcPr>
          <w:p w14:paraId="7A4D829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supplier/collector status, exact representation, transaction nexus, disputes, amounts, and actual loss.</w:t>
            </w:r>
          </w:p>
        </w:tc>
      </w:tr>
      <w:tr w:rsidR="00756B19" w:rsidRPr="00566B6A" w14:paraId="4E73233C" w14:textId="77777777">
        <w:trPr>
          <w:cantSplit/>
          <w:jc w:val="center"/>
        </w:trPr>
        <w:tc>
          <w:tcPr>
            <w:tcW w:w="2232" w:type="dxa"/>
            <w:tcMar>
              <w:top w:w="50" w:type="dxa"/>
              <w:left w:w="55" w:type="dxa"/>
              <w:bottom w:w="50" w:type="dxa"/>
              <w:right w:w="55" w:type="dxa"/>
            </w:tcMar>
          </w:tcPr>
          <w:p w14:paraId="0CF2BC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Security-freeze violations</w:t>
            </w:r>
          </w:p>
        </w:tc>
        <w:tc>
          <w:tcPr>
            <w:tcW w:w="3096" w:type="dxa"/>
            <w:tcMar>
              <w:top w:w="50" w:type="dxa"/>
              <w:left w:w="55" w:type="dxa"/>
              <w:bottom w:w="50" w:type="dxa"/>
              <w:right w:w="55" w:type="dxa"/>
            </w:tcMar>
          </w:tcPr>
          <w:p w14:paraId="5735281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Code §§ 59.1-444.1–444.2</w:t>
            </w:r>
          </w:p>
        </w:tc>
        <w:tc>
          <w:tcPr>
            <w:tcW w:w="1080" w:type="dxa"/>
            <w:tcMar>
              <w:top w:w="50" w:type="dxa"/>
              <w:left w:w="55" w:type="dxa"/>
              <w:bottom w:w="50" w:type="dxa"/>
              <w:right w:w="55" w:type="dxa"/>
            </w:tcMar>
          </w:tcPr>
          <w:p w14:paraId="2D50457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B8690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745A7CD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confirmation, PIN/password, requests, response times, release history, notices, and damages.</w:t>
            </w:r>
          </w:p>
        </w:tc>
      </w:tr>
      <w:tr w:rsidR="00756B19" w:rsidRPr="00566B6A" w14:paraId="276D12B7" w14:textId="77777777">
        <w:trPr>
          <w:cantSplit/>
          <w:jc w:val="center"/>
        </w:trPr>
        <w:tc>
          <w:tcPr>
            <w:tcW w:w="2232" w:type="dxa"/>
            <w:shd w:val="clear" w:color="auto" w:fill="F7FAFC"/>
            <w:tcMar>
              <w:top w:w="50" w:type="dxa"/>
              <w:left w:w="55" w:type="dxa"/>
              <w:bottom w:w="50" w:type="dxa"/>
              <w:right w:w="55" w:type="dxa"/>
            </w:tcMar>
          </w:tcPr>
          <w:p w14:paraId="321B8F6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6658939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Code § 18.2-186.6</w:t>
            </w:r>
          </w:p>
        </w:tc>
        <w:tc>
          <w:tcPr>
            <w:tcW w:w="1080" w:type="dxa"/>
            <w:shd w:val="clear" w:color="auto" w:fill="F7FAFC"/>
            <w:tcMar>
              <w:top w:w="50" w:type="dxa"/>
              <w:left w:w="55" w:type="dxa"/>
              <w:bottom w:w="50" w:type="dxa"/>
              <w:right w:w="55" w:type="dxa"/>
            </w:tcMar>
          </w:tcPr>
          <w:p w14:paraId="6F2304C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2D7A7ED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4F5FC0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and AG/CRA notices, dates, affected count, data elements, investigation, remediation, and direct-loss proof.</w:t>
            </w:r>
          </w:p>
        </w:tc>
      </w:tr>
      <w:tr w:rsidR="00756B19" w:rsidRPr="00566B6A" w14:paraId="663F60ED" w14:textId="77777777">
        <w:trPr>
          <w:cantSplit/>
          <w:jc w:val="center"/>
        </w:trPr>
        <w:tc>
          <w:tcPr>
            <w:tcW w:w="2232" w:type="dxa"/>
            <w:tcMar>
              <w:top w:w="50" w:type="dxa"/>
              <w:left w:w="55" w:type="dxa"/>
              <w:bottom w:w="50" w:type="dxa"/>
              <w:right w:w="55" w:type="dxa"/>
            </w:tcMar>
          </w:tcPr>
          <w:p w14:paraId="1E73BB7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VCPA deceptive practices</w:t>
            </w:r>
          </w:p>
        </w:tc>
        <w:tc>
          <w:tcPr>
            <w:tcW w:w="3096" w:type="dxa"/>
            <w:tcMar>
              <w:top w:w="50" w:type="dxa"/>
              <w:left w:w="55" w:type="dxa"/>
              <w:bottom w:w="50" w:type="dxa"/>
              <w:right w:w="55" w:type="dxa"/>
            </w:tcMar>
          </w:tcPr>
          <w:p w14:paraId="58EC8F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Code §§ 59.1-196–207</w:t>
            </w:r>
          </w:p>
        </w:tc>
        <w:tc>
          <w:tcPr>
            <w:tcW w:w="1080" w:type="dxa"/>
            <w:tcMar>
              <w:top w:w="50" w:type="dxa"/>
              <w:left w:w="55" w:type="dxa"/>
              <w:bottom w:w="50" w:type="dxa"/>
              <w:right w:w="55" w:type="dxa"/>
            </w:tcMar>
          </w:tcPr>
          <w:p w14:paraId="0646A9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FE744D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46487F1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Show supplier, consumer transaction, prohibited practice, reliance where required, loss, causation, and two-year timing.</w:t>
            </w:r>
          </w:p>
        </w:tc>
      </w:tr>
    </w:tbl>
    <w:p w14:paraId="28765551" w14:textId="77777777" w:rsidR="00756B19" w:rsidRPr="00566B6A" w:rsidRDefault="00756B19">
      <w:pPr>
        <w:spacing w:after="20"/>
        <w:rPr>
          <w:rFonts w:ascii="Courier New" w:hAnsi="Courier New" w:cs="Courier New"/>
          <w:sz w:val="22"/>
        </w:rPr>
      </w:pPr>
    </w:p>
    <w:p w14:paraId="5EB3C98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factually distinct deceptive collection communications, security-freeze violations, breach-notification duties, and VCPA consumer-transaction deception that does not duplicate CRA or furnisher reporting obligations.</w:t>
      </w:r>
    </w:p>
    <w:p w14:paraId="32466C3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Virginia claims that attempt to impose accuracy, reinvestigation, furnishing, or identity-theft blocking duties parallel to the federal FCRA without a distinct state-law basis.</w:t>
      </w:r>
    </w:p>
    <w:p w14:paraId="52B1B08D"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05CEEAC4"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6E1117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20AC44E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0BDB122E"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6E55292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5418B1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Virginia complaint with the Attorney General’s Consumer Protection Section or the State Corporation Commission regulator having jurisdiction; retain confirmation numbers.</w:t>
      </w:r>
    </w:p>
    <w:p w14:paraId="524E4C78"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D8694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294B2F18" w14:textId="77777777" w:rsidR="00756B19" w:rsidRDefault="00F247EE">
      <w:pPr>
        <w:ind w:left="72"/>
        <w:rPr>
          <w:rFonts w:ascii="Courier New" w:hAnsi="Courier New" w:cs="Courier New"/>
          <w:sz w:val="22"/>
        </w:rPr>
      </w:pPr>
      <w:r w:rsidRPr="00566B6A">
        <w:rPr>
          <w:rFonts w:ascii="Courier New" w:hAnsi="Courier New" w:cs="Courier New"/>
          <w:b/>
          <w:sz w:val="22"/>
        </w:rPr>
        <w:lastRenderedPageBreak/>
        <w:t xml:space="preserve">Step 8 — </w:t>
      </w:r>
      <w:r w:rsidRPr="00566B6A">
        <w:rPr>
          <w:rFonts w:ascii="Courier New" w:hAnsi="Courier New" w:cs="Courier New"/>
          <w:sz w:val="22"/>
        </w:rPr>
        <w:t>Maintain an evidence index with exhibit labels (A-1, A-2, …).</w:t>
      </w:r>
    </w:p>
    <w:p w14:paraId="445A79F2" w14:textId="77777777" w:rsidR="00964317" w:rsidRPr="00566B6A" w:rsidRDefault="00964317">
      <w:pPr>
        <w:ind w:left="72"/>
        <w:rPr>
          <w:rFonts w:ascii="Courier New" w:hAnsi="Courier New" w:cs="Courier New"/>
          <w:sz w:val="22"/>
        </w:rPr>
      </w:pPr>
    </w:p>
    <w:p w14:paraId="5E0504AA"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0190E01A"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5F862765" w14:textId="77777777">
        <w:trPr>
          <w:cantSplit/>
          <w:tblHeader/>
          <w:jc w:val="center"/>
        </w:trPr>
        <w:tc>
          <w:tcPr>
            <w:tcW w:w="6048" w:type="dxa"/>
            <w:shd w:val="clear" w:color="auto" w:fill="D9EAF7"/>
            <w:tcMar>
              <w:top w:w="55" w:type="dxa"/>
              <w:left w:w="55" w:type="dxa"/>
              <w:bottom w:w="55" w:type="dxa"/>
              <w:right w:w="55" w:type="dxa"/>
            </w:tcMar>
            <w:vAlign w:val="center"/>
          </w:tcPr>
          <w:p w14:paraId="2DF1FF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37F57B4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3C8694C4" w14:textId="77777777">
        <w:trPr>
          <w:cantSplit/>
          <w:jc w:val="center"/>
        </w:trPr>
        <w:tc>
          <w:tcPr>
            <w:tcW w:w="6048" w:type="dxa"/>
            <w:tcMar>
              <w:top w:w="50" w:type="dxa"/>
              <w:left w:w="55" w:type="dxa"/>
              <w:bottom w:w="50" w:type="dxa"/>
              <w:right w:w="55" w:type="dxa"/>
            </w:tcMar>
          </w:tcPr>
          <w:p w14:paraId="38A2277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3FD07E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7E8C2B00" w14:textId="77777777">
        <w:trPr>
          <w:cantSplit/>
          <w:jc w:val="center"/>
        </w:trPr>
        <w:tc>
          <w:tcPr>
            <w:tcW w:w="6048" w:type="dxa"/>
            <w:shd w:val="clear" w:color="auto" w:fill="F7FAFC"/>
            <w:tcMar>
              <w:top w:w="50" w:type="dxa"/>
              <w:left w:w="55" w:type="dxa"/>
              <w:bottom w:w="50" w:type="dxa"/>
              <w:right w:w="55" w:type="dxa"/>
            </w:tcMar>
          </w:tcPr>
          <w:p w14:paraId="1205F10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08FD755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7B4B7B28" w14:textId="77777777">
        <w:trPr>
          <w:cantSplit/>
          <w:jc w:val="center"/>
        </w:trPr>
        <w:tc>
          <w:tcPr>
            <w:tcW w:w="6048" w:type="dxa"/>
            <w:tcMar>
              <w:top w:w="50" w:type="dxa"/>
              <w:left w:w="55" w:type="dxa"/>
              <w:bottom w:w="50" w:type="dxa"/>
              <w:right w:w="55" w:type="dxa"/>
            </w:tcMar>
          </w:tcPr>
          <w:p w14:paraId="625AA45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4A60B6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6516708F" w14:textId="77777777">
        <w:trPr>
          <w:cantSplit/>
          <w:jc w:val="center"/>
        </w:trPr>
        <w:tc>
          <w:tcPr>
            <w:tcW w:w="6048" w:type="dxa"/>
            <w:shd w:val="clear" w:color="auto" w:fill="F7FAFC"/>
            <w:tcMar>
              <w:top w:w="50" w:type="dxa"/>
              <w:left w:w="55" w:type="dxa"/>
              <w:bottom w:w="50" w:type="dxa"/>
              <w:right w:w="55" w:type="dxa"/>
            </w:tcMar>
          </w:tcPr>
          <w:p w14:paraId="19C095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Virginia AG / SCC complaint + agency ID</w:t>
            </w:r>
          </w:p>
        </w:tc>
        <w:tc>
          <w:tcPr>
            <w:tcW w:w="8352" w:type="dxa"/>
            <w:shd w:val="clear" w:color="auto" w:fill="F7FAFC"/>
            <w:tcMar>
              <w:top w:w="50" w:type="dxa"/>
              <w:left w:w="55" w:type="dxa"/>
              <w:bottom w:w="50" w:type="dxa"/>
              <w:right w:w="55" w:type="dxa"/>
            </w:tcMar>
          </w:tcPr>
          <w:p w14:paraId="0C3840B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7C1B8B8B" w14:textId="77777777">
        <w:trPr>
          <w:cantSplit/>
          <w:jc w:val="center"/>
        </w:trPr>
        <w:tc>
          <w:tcPr>
            <w:tcW w:w="6048" w:type="dxa"/>
            <w:tcMar>
              <w:top w:w="50" w:type="dxa"/>
              <w:left w:w="55" w:type="dxa"/>
              <w:bottom w:w="50" w:type="dxa"/>
              <w:right w:w="55" w:type="dxa"/>
            </w:tcMar>
          </w:tcPr>
          <w:p w14:paraId="28E908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0F06349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6149AF" w14:textId="77777777">
        <w:trPr>
          <w:cantSplit/>
          <w:jc w:val="center"/>
        </w:trPr>
        <w:tc>
          <w:tcPr>
            <w:tcW w:w="6048" w:type="dxa"/>
            <w:shd w:val="clear" w:color="auto" w:fill="F7FAFC"/>
            <w:tcMar>
              <w:top w:w="50" w:type="dxa"/>
              <w:left w:w="55" w:type="dxa"/>
              <w:bottom w:w="50" w:type="dxa"/>
              <w:right w:w="55" w:type="dxa"/>
            </w:tcMar>
          </w:tcPr>
          <w:p w14:paraId="47C550C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77B8B0B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64248826" w14:textId="77777777">
        <w:trPr>
          <w:cantSplit/>
          <w:jc w:val="center"/>
        </w:trPr>
        <w:tc>
          <w:tcPr>
            <w:tcW w:w="6048" w:type="dxa"/>
            <w:tcMar>
              <w:top w:w="50" w:type="dxa"/>
              <w:left w:w="55" w:type="dxa"/>
              <w:bottom w:w="50" w:type="dxa"/>
              <w:right w:w="55" w:type="dxa"/>
            </w:tcMar>
          </w:tcPr>
          <w:p w14:paraId="46547E5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Virginia VCPA evidence + accrual record</w:t>
            </w:r>
          </w:p>
        </w:tc>
        <w:tc>
          <w:tcPr>
            <w:tcW w:w="8352" w:type="dxa"/>
            <w:tcMar>
              <w:top w:w="50" w:type="dxa"/>
              <w:left w:w="55" w:type="dxa"/>
              <w:bottom w:w="50" w:type="dxa"/>
              <w:right w:w="55" w:type="dxa"/>
            </w:tcMar>
          </w:tcPr>
          <w:p w14:paraId="327F993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Supplier and consumer transaction, prohibited practice, reliance where required, loss, causation, and two-year timing</w:t>
            </w:r>
          </w:p>
        </w:tc>
      </w:tr>
    </w:tbl>
    <w:p w14:paraId="6887FF1B" w14:textId="77777777" w:rsidR="00756B19" w:rsidRPr="00566B6A" w:rsidRDefault="00756B19">
      <w:pPr>
        <w:spacing w:after="20"/>
        <w:rPr>
          <w:rFonts w:ascii="Courier New" w:hAnsi="Courier New" w:cs="Courier New"/>
          <w:sz w:val="22"/>
        </w:rPr>
      </w:pPr>
    </w:p>
    <w:p w14:paraId="44529ED4"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30A3F3B3"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1CC8D4D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5F9A52D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3E69AD7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772FBA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7D256E2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Virginia VCPA evidence + accrual and two-year limitations record</w:t>
      </w:r>
    </w:p>
    <w:p w14:paraId="20008E5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506158E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19D543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BB48CD5"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F — STATE-SPECIFIC MODULE (AUTO-INJECT, REQUIRED)</w:t>
      </w:r>
    </w:p>
    <w:p w14:paraId="688BB2D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Virginia (VA)</w:t>
      </w:r>
    </w:p>
    <w:p w14:paraId="525834A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CE7AE2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Virginia Consumer Protection Act of 1977 | Va. Code §§ 59.1-196 through 59.1-207 | Remedies: actual damages or $500; possible increased damages for willful conduct; fees/costs; public injunction, restoration, and penalties. | Authority: Attorney General / courts.</w:t>
      </w:r>
    </w:p>
    <w:p w14:paraId="7F10C15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Virginia Deceptive Collection Framework | Va. Code § 59.1-200; federal FDCPA | Remedies: VCPA relief where supplier, consumer-transaction, prohibited-practice, loss, and causation requirements are met; separate federal remedies may apply. | Authority: Attorney General / courts.</w:t>
      </w:r>
    </w:p>
    <w:p w14:paraId="40D629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Virginia Security Freeze Law | Va. Code §§ 59.1-444.1 through 59.1-444.2 | Remedies: placement, lifting, removal, no-fee procedures, and willful or negligent civil relief under § 59.1-444.2. | Authority: courts / Attorney General / CRAs.</w:t>
      </w:r>
    </w:p>
    <w:p w14:paraId="72F4C1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Virginia Breach Notification Law | Va. Code § 18.2-186.6 | Remedies: Attorney General enforcement, up to $150,000 per breach or related series, and direct economic damages. | Authority: Attorney General / courts / primary regulator.</w:t>
      </w:r>
    </w:p>
    <w:p w14:paraId="329D6AC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Virginia Identity-Theft Provision | Va. Code § 18.2-186.3 | Remedies: criminal penalties, restitution for correction expenses, and Attorney General victim assistance. | Authority: law enforcement / courts / Attorney General.</w:t>
      </w:r>
    </w:p>
    <w:p w14:paraId="5C153FDC"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363FBB4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Virginia administrative regulations — </w:t>
      </w:r>
      <w:r w:rsidRPr="00566B6A">
        <w:rPr>
          <w:rFonts w:ascii="Courier New" w:hAnsi="Courier New" w:cs="Courier New"/>
          <w:sz w:val="22"/>
        </w:rPr>
        <w:t>consult current rules of the State Corporation Commission or other agency with jurisdiction over the entity. Verify the exact title, agency, chapter, and section before filing or relying on a regulation.</w:t>
      </w:r>
    </w:p>
    <w:p w14:paraId="46008343"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1CB86D7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Virginia Attorney General — Consumer Protection Section: </w:t>
      </w:r>
      <w:r w:rsidRPr="00566B6A">
        <w:rPr>
          <w:rFonts w:ascii="Courier New" w:hAnsi="Courier New" w:cs="Courier New"/>
          <w:sz w:val="22"/>
        </w:rPr>
        <w:t>VCPA complaint and enforcement guidance.</w:t>
      </w:r>
    </w:p>
    <w:p w14:paraId="6A4C5D0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Virginia State Corporation Commission — Bureau of Financial Institutions: </w:t>
      </w:r>
      <w:r w:rsidRPr="00566B6A">
        <w:rPr>
          <w:rFonts w:ascii="Courier New" w:hAnsi="Courier New" w:cs="Courier New"/>
          <w:sz w:val="22"/>
        </w:rPr>
        <w:t>complaint and regulatory guidance.</w:t>
      </w:r>
    </w:p>
    <w:p w14:paraId="0E9A880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Virginia Attorney General: </w:t>
      </w:r>
      <w:r w:rsidRPr="00566B6A">
        <w:rPr>
          <w:rFonts w:ascii="Courier New" w:hAnsi="Courier New" w:cs="Courier New"/>
          <w:sz w:val="22"/>
        </w:rPr>
        <w:t>identity-theft victim assistance and breach-notification guidance.</w:t>
      </w:r>
    </w:p>
    <w:p w14:paraId="59603E6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5C466CBA"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Virginia without municipal verification.</w:t>
      </w:r>
    </w:p>
    <w:p w14:paraId="14C5F2B7" w14:textId="77777777" w:rsidR="00964317" w:rsidRPr="00566B6A" w:rsidRDefault="00964317">
      <w:pPr>
        <w:spacing w:after="60"/>
        <w:rPr>
          <w:rFonts w:ascii="Courier New" w:hAnsi="Courier New" w:cs="Courier New"/>
          <w:sz w:val="22"/>
        </w:rPr>
      </w:pPr>
    </w:p>
    <w:p w14:paraId="08FD137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10B62BD" w14:textId="77777777">
        <w:trPr>
          <w:cantSplit/>
          <w:tblHeader/>
          <w:jc w:val="center"/>
        </w:trPr>
        <w:tc>
          <w:tcPr>
            <w:tcW w:w="2232" w:type="dxa"/>
            <w:shd w:val="clear" w:color="auto" w:fill="D9EAF7"/>
            <w:tcMar>
              <w:top w:w="55" w:type="dxa"/>
              <w:left w:w="55" w:type="dxa"/>
              <w:bottom w:w="55" w:type="dxa"/>
              <w:right w:w="55" w:type="dxa"/>
            </w:tcMar>
            <w:vAlign w:val="center"/>
          </w:tcPr>
          <w:p w14:paraId="6FE0DD4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2094C75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6B09F2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40D5DA9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72F49F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1C3464C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54769D13" w14:textId="77777777">
        <w:trPr>
          <w:cantSplit/>
          <w:jc w:val="center"/>
        </w:trPr>
        <w:tc>
          <w:tcPr>
            <w:tcW w:w="2232" w:type="dxa"/>
            <w:tcMar>
              <w:top w:w="50" w:type="dxa"/>
              <w:left w:w="55" w:type="dxa"/>
              <w:bottom w:w="50" w:type="dxa"/>
              <w:right w:w="55" w:type="dxa"/>
            </w:tcMar>
          </w:tcPr>
          <w:p w14:paraId="4CD7BFD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Ballagh v. Fauber Enters., Inc.</w:t>
            </w:r>
          </w:p>
        </w:tc>
        <w:tc>
          <w:tcPr>
            <w:tcW w:w="1152" w:type="dxa"/>
            <w:tcMar>
              <w:top w:w="50" w:type="dxa"/>
              <w:left w:w="55" w:type="dxa"/>
              <w:bottom w:w="50" w:type="dxa"/>
              <w:right w:w="55" w:type="dxa"/>
            </w:tcMar>
          </w:tcPr>
          <w:p w14:paraId="0BE719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Sup. Ct.</w:t>
            </w:r>
          </w:p>
        </w:tc>
        <w:tc>
          <w:tcPr>
            <w:tcW w:w="748" w:type="dxa"/>
            <w:tcMar>
              <w:top w:w="50" w:type="dxa"/>
              <w:left w:w="55" w:type="dxa"/>
              <w:bottom w:w="50" w:type="dxa"/>
              <w:right w:w="55" w:type="dxa"/>
            </w:tcMar>
          </w:tcPr>
          <w:p w14:paraId="3BD117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2015</w:t>
            </w:r>
          </w:p>
        </w:tc>
        <w:tc>
          <w:tcPr>
            <w:tcW w:w="2088" w:type="dxa"/>
            <w:tcMar>
              <w:top w:w="50" w:type="dxa"/>
              <w:left w:w="55" w:type="dxa"/>
              <w:bottom w:w="50" w:type="dxa"/>
              <w:right w:w="55" w:type="dxa"/>
            </w:tcMar>
          </w:tcPr>
          <w:p w14:paraId="5F703A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290 Va. 120, 773 S.E.2d 366</w:t>
            </w:r>
          </w:p>
        </w:tc>
        <w:tc>
          <w:tcPr>
            <w:tcW w:w="4536" w:type="dxa"/>
            <w:tcMar>
              <w:top w:w="50" w:type="dxa"/>
              <w:left w:w="55" w:type="dxa"/>
              <w:bottom w:w="50" w:type="dxa"/>
              <w:right w:w="55" w:type="dxa"/>
            </w:tcMar>
          </w:tcPr>
          <w:p w14:paraId="6F6FFD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VCPA claims are statutory and distinct from common-law fraud; the proof standard is preponderance of the evidence.</w:t>
            </w:r>
          </w:p>
        </w:tc>
        <w:tc>
          <w:tcPr>
            <w:tcW w:w="3643" w:type="dxa"/>
            <w:tcMar>
              <w:top w:w="50" w:type="dxa"/>
              <w:left w:w="55" w:type="dxa"/>
              <w:bottom w:w="50" w:type="dxa"/>
              <w:right w:w="55" w:type="dxa"/>
            </w:tcMar>
          </w:tcPr>
          <w:p w14:paraId="365776D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exact § 59.1-200 practice and preserve transaction, communication, causation, and loss evidence.</w:t>
            </w:r>
          </w:p>
        </w:tc>
      </w:tr>
      <w:tr w:rsidR="00756B19" w:rsidRPr="00566B6A" w14:paraId="6D04754D" w14:textId="77777777">
        <w:trPr>
          <w:cantSplit/>
          <w:jc w:val="center"/>
        </w:trPr>
        <w:tc>
          <w:tcPr>
            <w:tcW w:w="2232" w:type="dxa"/>
            <w:shd w:val="clear" w:color="auto" w:fill="F7FAFC"/>
            <w:tcMar>
              <w:top w:w="50" w:type="dxa"/>
              <w:left w:w="55" w:type="dxa"/>
              <w:bottom w:w="50" w:type="dxa"/>
              <w:right w:w="55" w:type="dxa"/>
            </w:tcMar>
          </w:tcPr>
          <w:p w14:paraId="6574B79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Owens v. DRS Auto. Fantomworks, Inc.</w:t>
            </w:r>
          </w:p>
        </w:tc>
        <w:tc>
          <w:tcPr>
            <w:tcW w:w="1152" w:type="dxa"/>
            <w:shd w:val="clear" w:color="auto" w:fill="F7FAFC"/>
            <w:tcMar>
              <w:top w:w="50" w:type="dxa"/>
              <w:left w:w="55" w:type="dxa"/>
              <w:bottom w:w="50" w:type="dxa"/>
              <w:right w:w="55" w:type="dxa"/>
            </w:tcMar>
          </w:tcPr>
          <w:p w14:paraId="49B520C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Va. Sup. Ct.</w:t>
            </w:r>
          </w:p>
        </w:tc>
        <w:tc>
          <w:tcPr>
            <w:tcW w:w="748" w:type="dxa"/>
            <w:shd w:val="clear" w:color="auto" w:fill="F7FAFC"/>
            <w:tcMar>
              <w:top w:w="50" w:type="dxa"/>
              <w:left w:w="55" w:type="dxa"/>
              <w:bottom w:w="50" w:type="dxa"/>
              <w:right w:w="55" w:type="dxa"/>
            </w:tcMar>
          </w:tcPr>
          <w:p w14:paraId="44B87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shd w:val="clear" w:color="auto" w:fill="F7FAFC"/>
            <w:tcMar>
              <w:top w:w="50" w:type="dxa"/>
              <w:left w:w="55" w:type="dxa"/>
              <w:bottom w:w="50" w:type="dxa"/>
              <w:right w:w="55" w:type="dxa"/>
            </w:tcMar>
          </w:tcPr>
          <w:p w14:paraId="74561B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288 Va. 489, 764 S.E.2d 256</w:t>
            </w:r>
          </w:p>
        </w:tc>
        <w:tc>
          <w:tcPr>
            <w:tcW w:w="4536" w:type="dxa"/>
            <w:shd w:val="clear" w:color="auto" w:fill="F7FAFC"/>
            <w:tcMar>
              <w:top w:w="50" w:type="dxa"/>
              <w:left w:w="55" w:type="dxa"/>
              <w:bottom w:w="50" w:type="dxa"/>
              <w:right w:w="55" w:type="dxa"/>
            </w:tcMar>
          </w:tcPr>
          <w:p w14:paraId="265CC1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VCPA extends beyond fraud, but § 59.1-204 still requires an actionable practice, applicable reliance, resulting loss, and damages.</w:t>
            </w:r>
          </w:p>
        </w:tc>
        <w:tc>
          <w:tcPr>
            <w:tcW w:w="3643" w:type="dxa"/>
            <w:shd w:val="clear" w:color="auto" w:fill="F7FAFC"/>
            <w:tcMar>
              <w:top w:w="50" w:type="dxa"/>
              <w:left w:w="55" w:type="dxa"/>
              <w:bottom w:w="50" w:type="dxa"/>
              <w:right w:w="55" w:type="dxa"/>
            </w:tcMar>
          </w:tcPr>
          <w:p w14:paraId="4F78EC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Avoid conjecture; preserve contracts, invoices, representations, payments, reliance, and measurable loss.</w:t>
            </w:r>
          </w:p>
        </w:tc>
      </w:tr>
      <w:tr w:rsidR="00756B19" w:rsidRPr="00566B6A" w14:paraId="78D6B712" w14:textId="77777777">
        <w:trPr>
          <w:cantSplit/>
          <w:jc w:val="center"/>
        </w:trPr>
        <w:tc>
          <w:tcPr>
            <w:tcW w:w="2232" w:type="dxa"/>
            <w:tcMar>
              <w:top w:w="50" w:type="dxa"/>
              <w:left w:w="55" w:type="dxa"/>
              <w:bottom w:w="50" w:type="dxa"/>
              <w:right w:w="55" w:type="dxa"/>
            </w:tcMar>
          </w:tcPr>
          <w:p w14:paraId="5F150F3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Sayyed v. Wolpoff &amp; Abramson</w:t>
            </w:r>
          </w:p>
        </w:tc>
        <w:tc>
          <w:tcPr>
            <w:tcW w:w="1152" w:type="dxa"/>
            <w:tcMar>
              <w:top w:w="50" w:type="dxa"/>
              <w:left w:w="55" w:type="dxa"/>
              <w:bottom w:w="50" w:type="dxa"/>
              <w:right w:w="55" w:type="dxa"/>
            </w:tcMar>
          </w:tcPr>
          <w:p w14:paraId="45F5C81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4th Cir.</w:t>
            </w:r>
          </w:p>
        </w:tc>
        <w:tc>
          <w:tcPr>
            <w:tcW w:w="748" w:type="dxa"/>
            <w:tcMar>
              <w:top w:w="50" w:type="dxa"/>
              <w:left w:w="55" w:type="dxa"/>
              <w:bottom w:w="50" w:type="dxa"/>
              <w:right w:w="55" w:type="dxa"/>
            </w:tcMar>
          </w:tcPr>
          <w:p w14:paraId="010AC2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tcMar>
              <w:top w:w="50" w:type="dxa"/>
              <w:left w:w="55" w:type="dxa"/>
              <w:bottom w:w="50" w:type="dxa"/>
              <w:right w:w="55" w:type="dxa"/>
            </w:tcMar>
          </w:tcPr>
          <w:p w14:paraId="14C7F0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485 F.3d 226</w:t>
            </w:r>
          </w:p>
        </w:tc>
        <w:tc>
          <w:tcPr>
            <w:tcW w:w="4536" w:type="dxa"/>
            <w:tcMar>
              <w:top w:w="50" w:type="dxa"/>
              <w:left w:w="55" w:type="dxa"/>
              <w:bottom w:w="50" w:type="dxa"/>
              <w:right w:w="55" w:type="dxa"/>
            </w:tcMar>
          </w:tcPr>
          <w:p w14:paraId="555B479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FDCPA applies to qualifying lawyers’ litigation activity; there is no blanket common-law litigation immunity.</w:t>
            </w:r>
          </w:p>
        </w:tc>
        <w:tc>
          <w:tcPr>
            <w:tcW w:w="3643" w:type="dxa"/>
            <w:tcMar>
              <w:top w:w="50" w:type="dxa"/>
              <w:left w:w="55" w:type="dxa"/>
              <w:bottom w:w="50" w:type="dxa"/>
              <w:right w:w="55" w:type="dxa"/>
            </w:tcMar>
          </w:tcPr>
          <w:p w14:paraId="29D5597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pleadings, affidavits, discovery, fee authority, balances, communications, and collector-status proof.</w:t>
            </w:r>
          </w:p>
        </w:tc>
      </w:tr>
    </w:tbl>
    <w:p w14:paraId="603A2340" w14:textId="77777777" w:rsidR="00756B19" w:rsidRPr="00566B6A" w:rsidRDefault="00756B19">
      <w:pPr>
        <w:spacing w:after="20"/>
        <w:rPr>
          <w:rFonts w:ascii="Courier New" w:hAnsi="Courier New" w:cs="Courier New"/>
          <w:sz w:val="22"/>
        </w:rPr>
      </w:pPr>
    </w:p>
    <w:p w14:paraId="316735E1"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5F8AB43B"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TK-Authority-2026-07-VA</w:t>
      </w:r>
    </w:p>
    <w:p w14:paraId="67311DD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6251A15B"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VA</w:t>
      </w:r>
    </w:p>
    <w:p w14:paraId="70A8165E"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against official sources. Virginia statutes, Virginia and Fourth Circuit decisions, and federal FCRA materials were checked against official or published sources available July 24, 2026.</w:t>
      </w:r>
    </w:p>
    <w:p w14:paraId="7B6F0D1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6E55BF0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6A8F99F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212416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16471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7564F33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Verification Required when a regulation, agency jurisdiction, local ordinance, or private remedy is not expressly confirmed</w:t>
      </w:r>
    </w:p>
    <w:p w14:paraId="3CD40370"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federal and Virginia authority library. Authorities may change. It is educational and informational only and is not legal advice or representation.</w:t>
      </w:r>
    </w:p>
    <w:p w14:paraId="2C94B3D5"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5FC3CB8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7564732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Virginia administrative rule citation by agency, title, chapter, and section.</w:t>
      </w:r>
    </w:p>
    <w:p w14:paraId="29A383D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010526E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3DB0FE1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4A10CAB1"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013CC3CB"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132FEDE8" w14:textId="77777777" w:rsidR="00BD7EED" w:rsidRDefault="00BD7EED">
      <w:pPr>
        <w:keepLines/>
        <w:spacing w:before="40" w:after="0"/>
        <w:rPr>
          <w:rFonts w:ascii="Courier New" w:hAnsi="Courier New" w:cs="Courier New"/>
          <w:i/>
          <w:color w:val="464646"/>
          <w:sz w:val="22"/>
        </w:rPr>
      </w:pPr>
    </w:p>
    <w:p w14:paraId="30C6A8BD" w14:textId="77777777" w:rsidR="00BD7EED" w:rsidRDefault="00BD7EED">
      <w:pPr>
        <w:keepLines/>
        <w:spacing w:before="40" w:after="0"/>
        <w:rPr>
          <w:rFonts w:ascii="Courier New" w:hAnsi="Courier New" w:cs="Courier New"/>
          <w:i/>
          <w:color w:val="464646"/>
          <w:sz w:val="22"/>
        </w:rPr>
      </w:pPr>
    </w:p>
    <w:p w14:paraId="50441644" w14:textId="77777777" w:rsidR="00BD7EED" w:rsidRDefault="00BD7EED">
      <w:pPr>
        <w:keepLines/>
        <w:spacing w:before="40" w:after="0"/>
        <w:rPr>
          <w:rFonts w:ascii="Courier New" w:hAnsi="Courier New" w:cs="Courier New"/>
          <w:i/>
          <w:color w:val="464646"/>
          <w:sz w:val="22"/>
        </w:rPr>
      </w:pPr>
    </w:p>
    <w:p w14:paraId="5F17085A" w14:textId="77777777" w:rsidR="00BD7EED" w:rsidRDefault="00BD7EED">
      <w:pPr>
        <w:keepLines/>
        <w:spacing w:before="40" w:after="0"/>
        <w:rPr>
          <w:rFonts w:ascii="Courier New" w:hAnsi="Courier New" w:cs="Courier New"/>
          <w:i/>
          <w:color w:val="464646"/>
          <w:sz w:val="22"/>
        </w:rPr>
      </w:pPr>
    </w:p>
    <w:p w14:paraId="11A85E88" w14:textId="77777777" w:rsidR="00BD7EED" w:rsidRDefault="00BD7EED">
      <w:pPr>
        <w:keepLines/>
        <w:spacing w:before="40" w:after="0"/>
        <w:rPr>
          <w:rFonts w:ascii="Courier New" w:hAnsi="Courier New" w:cs="Courier New"/>
          <w:i/>
          <w:color w:val="464646"/>
          <w:sz w:val="22"/>
        </w:rPr>
      </w:pPr>
    </w:p>
    <w:p w14:paraId="033F4839" w14:textId="77777777" w:rsidR="00BD7EED" w:rsidRDefault="00BD7EED">
      <w:pPr>
        <w:keepLines/>
        <w:spacing w:before="40" w:after="0"/>
        <w:rPr>
          <w:rFonts w:ascii="Courier New" w:hAnsi="Courier New" w:cs="Courier New"/>
          <w:i/>
          <w:color w:val="464646"/>
          <w:sz w:val="22"/>
        </w:rPr>
      </w:pPr>
    </w:p>
    <w:p w14:paraId="2DC26AC1" w14:textId="77777777" w:rsidR="00BD7EED" w:rsidRDefault="00BD7EED">
      <w:pPr>
        <w:keepLines/>
        <w:spacing w:before="40" w:after="0"/>
        <w:rPr>
          <w:rFonts w:ascii="Courier New" w:hAnsi="Courier New" w:cs="Courier New"/>
          <w:i/>
          <w:color w:val="464646"/>
          <w:sz w:val="22"/>
        </w:rPr>
      </w:pPr>
    </w:p>
    <w:p w14:paraId="168642DD" w14:textId="77777777" w:rsidR="00BD7EED" w:rsidRDefault="00BD7EED">
      <w:pPr>
        <w:keepLines/>
        <w:spacing w:before="40" w:after="0"/>
        <w:rPr>
          <w:rFonts w:ascii="Courier New" w:hAnsi="Courier New" w:cs="Courier New"/>
          <w:i/>
          <w:color w:val="464646"/>
          <w:sz w:val="22"/>
        </w:rPr>
      </w:pPr>
    </w:p>
    <w:p w14:paraId="37BFCD1C" w14:textId="77777777" w:rsidR="00BD7EED" w:rsidRDefault="00BD7EED">
      <w:pPr>
        <w:keepLines/>
        <w:spacing w:before="40" w:after="0"/>
        <w:rPr>
          <w:rFonts w:ascii="Courier New" w:hAnsi="Courier New" w:cs="Courier New"/>
          <w:i/>
          <w:color w:val="464646"/>
          <w:sz w:val="22"/>
        </w:rPr>
      </w:pPr>
    </w:p>
    <w:p w14:paraId="542C872F" w14:textId="77777777" w:rsidR="00BD7EED" w:rsidRDefault="00BD7EED">
      <w:pPr>
        <w:keepLines/>
        <w:spacing w:before="40" w:after="0"/>
        <w:rPr>
          <w:rFonts w:ascii="Courier New" w:hAnsi="Courier New" w:cs="Courier New"/>
          <w:i/>
          <w:color w:val="464646"/>
          <w:sz w:val="22"/>
        </w:rPr>
      </w:pPr>
    </w:p>
    <w:p w14:paraId="4B4AF203" w14:textId="77777777" w:rsidR="00BD7EED" w:rsidRDefault="00BD7EED">
      <w:pPr>
        <w:keepLines/>
        <w:spacing w:before="40" w:after="0"/>
        <w:rPr>
          <w:rFonts w:ascii="Courier New" w:hAnsi="Courier New" w:cs="Courier New"/>
          <w:i/>
          <w:color w:val="464646"/>
          <w:sz w:val="22"/>
        </w:rPr>
      </w:pPr>
    </w:p>
    <w:p w14:paraId="15333210" w14:textId="77777777" w:rsidR="00BD7EED" w:rsidRDefault="00BD7EED">
      <w:pPr>
        <w:keepLines/>
        <w:spacing w:before="40" w:after="0"/>
        <w:rPr>
          <w:rFonts w:ascii="Courier New" w:hAnsi="Courier New" w:cs="Courier New"/>
          <w:i/>
          <w:color w:val="464646"/>
          <w:sz w:val="22"/>
        </w:rPr>
      </w:pPr>
    </w:p>
    <w:p w14:paraId="68144289" w14:textId="77777777" w:rsidR="00BD7EED" w:rsidRDefault="00BD7EED">
      <w:pPr>
        <w:keepLines/>
        <w:spacing w:before="40" w:after="0"/>
        <w:rPr>
          <w:rFonts w:ascii="Courier New" w:hAnsi="Courier New" w:cs="Courier New"/>
          <w:i/>
          <w:color w:val="464646"/>
          <w:sz w:val="22"/>
        </w:rPr>
      </w:pPr>
    </w:p>
    <w:p w14:paraId="6C4980D8" w14:textId="77777777" w:rsidR="00BD7EED" w:rsidRPr="00566B6A" w:rsidRDefault="00BD7EED">
      <w:pPr>
        <w:keepLines/>
        <w:spacing w:before="40" w:after="0"/>
        <w:rPr>
          <w:rFonts w:ascii="Courier New" w:hAnsi="Courier New" w:cs="Courier New"/>
          <w:sz w:val="22"/>
        </w:rPr>
      </w:pPr>
    </w:p>
    <w:p w14:paraId="5AE0E111" w14:textId="77777777" w:rsidR="00B70652" w:rsidRDefault="00D65776">
      <w:r>
        <w:br w:type="page"/>
      </w:r>
    </w:p>
    <w:p w14:paraId="00273A19" w14:textId="77777777" w:rsidR="00B70652" w:rsidRDefault="00D65776">
      <w:r>
        <w:rPr>
          <w:color w:val="FFFFFF"/>
          <w:sz w:val="2"/>
        </w:rPr>
        <w:lastRenderedPageBreak/>
        <w:t> </w:t>
      </w:r>
    </w:p>
    <w:sectPr w:rsidR="00B70652"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9C075" w14:textId="77777777" w:rsidR="00D65776" w:rsidRDefault="00D65776">
      <w:pPr>
        <w:spacing w:after="0" w:line="240" w:lineRule="auto"/>
      </w:pPr>
      <w:r>
        <w:separator/>
      </w:r>
    </w:p>
  </w:endnote>
  <w:endnote w:type="continuationSeparator" w:id="0">
    <w:p w14:paraId="77A8DB2D" w14:textId="77777777" w:rsidR="00D65776" w:rsidRDefault="00D65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8E3AD"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BFB46" w14:textId="77777777" w:rsidR="00D65776" w:rsidRDefault="00D65776">
      <w:pPr>
        <w:spacing w:after="0" w:line="240" w:lineRule="auto"/>
      </w:pPr>
      <w:r>
        <w:separator/>
      </w:r>
    </w:p>
  </w:footnote>
  <w:footnote w:type="continuationSeparator" w:id="0">
    <w:p w14:paraId="037716F2" w14:textId="77777777" w:rsidR="00D65776" w:rsidRDefault="00D65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516B" w14:textId="77777777" w:rsidR="00756B19" w:rsidRDefault="00F247EE">
    <w:pPr>
      <w:pStyle w:val="Header"/>
      <w:jc w:val="right"/>
    </w:pPr>
    <w:r>
      <w:rPr>
        <w:b/>
        <w:color w:val="505050"/>
        <w:sz w:val="15"/>
      </w:rPr>
      <w:t>GLADIC AI™ — SECTION 3A | VIRGINIA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2975F3"/>
    <w:rsid w:val="00326F90"/>
    <w:rsid w:val="00463F22"/>
    <w:rsid w:val="00566B6A"/>
    <w:rsid w:val="00655F05"/>
    <w:rsid w:val="006F27AD"/>
    <w:rsid w:val="00736F61"/>
    <w:rsid w:val="00756B19"/>
    <w:rsid w:val="00964317"/>
    <w:rsid w:val="00AA1D8D"/>
    <w:rsid w:val="00B47730"/>
    <w:rsid w:val="00B70652"/>
    <w:rsid w:val="00BD7EED"/>
    <w:rsid w:val="00CB0664"/>
    <w:rsid w:val="00D65776"/>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7C85A"/>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4233</Words>
  <Characters>24133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2026-07-24T21:13:00Z</dcterms:created>
  <dcterms:modified xsi:type="dcterms:W3CDTF">2026-07-24T21:13:00Z</dcterms:modified>
  <cp:category/>
</cp:coreProperties>
</file>