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Washington (WA)</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None identified</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Washington Consumer Protection Act (CPA)</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RCW 19.86.010 through RCW 19.86.920</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unfair methods of competition and unfair or deceptive acts or practices in trade or commerce. The Act is construed liberally to protect the public and foster fair and honest competition.</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A qualifying plaintiff may seek an injunction, actual damages, costs, and reasonable attorney’s fees. A court may treble actual damages, subject to the $25,000 statutory cap on the increased award for RCW 19.86.020. The Attorney General may seek restraint and restoration.</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A person injured in business or property may sue under RCW 19.86.090. A private CPA claim generally requires an unfair or deceptive act, trade or commerce, public-interest impact, injury, and causation. A damages action under RCW 19.86.090 generally must be commenced within four years after accrual. See RCW 19.86.120.</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Washington Attorney General — Consumer Protection Division; RCW 19.86.080.</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Collection/tradeline derogatory activity present — review Washington collection-agency licensing, prohibited practices, and federal debt-collection law.</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Overview: The Washington Collection Agency Act regulates licensing and conduct. Unlicensed operation and acts prohibited by RCW 19.16.250 or .260 are declared unfair or deceptive under the CPA by RCW 19.16.440. The federal FDCPA may apply separately.</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RCW 19.16.100 through RCW 19.16.950; RCW 19.16.440; 15 U.S.C. §§ 1692 through 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Regulators: Washington Department of Licensing; Washington Attorney General; Department of Financial Institutions where applicable; CFPB and FTC under federal law.</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Washington has a Fair Credit Reporting Act covering permissible purposes, disclosures, disputes, adverse action, remedies, identity-theft blocks, and freezes. See RCW 19.182.005–.902. Federal FCRA rights also apply.</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Washington consumers may place, lift, or remove a security freeze under RCW 19.182.170–.230, including protected-consumer procedures and statutory exceptions.</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RCW 19.182.070–.080 require disclosure of file information, sources, and specified report recipients and inquiries, subject to statutory exceptions.</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RCW 19.182.090 permits a direct dispute of incomplete or inaccurate file information. The agency generally must reinvestigate without charge within thirty business days, review relevant material, delete information that is inaccurate or unverifiable, provide results, and describe the procedure used when requested. Federal rights under 15 U.S.C. § 1681i apply separately; overlapping claims require preemption review.</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Fraud alerts arise principally under federal law. Washington supplements restoration through identity-theft blocking under RCW 19.182.160 and security freezes under RCW 19.182.170–.230.</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RCW 19.182.150 provides actual damages, costs, and reasonable attorney’s fees, plus $1,000 for willful noncompliance, and treats a violation as unfair or deceptive under the CPA. Chapter 19.182 claims generally have a two-year limitation under RCW 19.182.120; CPA damages claims generally have four years under RCW 19.86.120.</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File disclosure and source identification: Under 15 U.S.C. § 1681g(a)(1)–(2), the consumer may request a clear and accurate disclosure of all information in the file and the sources of that </w:t>
      </w:r>
      <w:r w:rsidRPr="00566B6A">
        <w:rPr>
          <w:rFonts w:ascii="Courier New" w:hAnsi="Courier New" w:cs="Courier New"/>
          <w:bCs/>
          <w:sz w:val="22"/>
        </w:rPr>
        <w:lastRenderedPageBreak/>
        <w:t>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submitted directly to each consumer reporting agency displaying the inaccurate information. A 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Identity-theft blocking: If an address, employer, telephone number, or related entry resulted from identity theft, 15 U.S.C. § 1681c-2(a) generally requires the consumer reporting agency to block reporting of the identified information within four business days after receiving </w:t>
      </w:r>
      <w:r w:rsidRPr="00566B6A">
        <w:rPr>
          <w:rFonts w:ascii="Courier New" w:hAnsi="Courier New" w:cs="Courier New"/>
          <w:bCs/>
          <w:sz w:val="22"/>
        </w:rPr>
        <w:lastRenderedPageBreak/>
        <w:t>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RCW 9.35.020 criminalizes use or transfer of another person’s identification or financial information with intent to commit or aid a crime.</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Identity-theft blocking: RCW 19.182.160 generally requires permanent blocking of identified identity-theft information within thirty days after proof of identity and a qualifying police report, subject to statutory exceptions.</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fraud alerts, security freezes, creditor notifications, police or FTC identity-theft reports, and documented dispute trails.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court orders, freeze confirmations, creditor notices,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RCW 19.255.010 requires notice to affected Washington residents when unsecured personal information was, or is reasonably believed to have been, acquired without authorization and the statutory harm threshold is met. Notice generally is due without unreasonable delay and within thirty calendar days, subject to exceptions.</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 Washington’s private-sector security-breach notification and enforcement provisions are codified at RCW 19.255.010 through RCW 19.255.040.</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Privacy rights: Washington has sector-specific privacy and security laws. This module focuses on consumer reporting, identity theft, freezes, and breach notice; other state or federal rules may apply.</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Covered entities should preserve breach investigation records, notice content, delivery dates, law-enforcement delay requests, and remediation documentation.</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Washington Attorney General: Consumer Protection Division — complaint intake and consumer-protection enforcement.</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Washington Department of Licensing: Collection-agency licensing, complaints, and discipline under chapter 19.16 RCW and applicable rules.</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Washington Department of Financial Institutions: Complaint pathway for Washington-chartered financial institutions and regulated lenders or financial-service providers, as jurisdiction permits.</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state intake when federal consumer-finance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1913215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the controlling authority for credit-reporting disputes; none are identified as directly applicable in Washington without municipal verification.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RCW 19.86.010–.920</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CPA — unfair or deceptive acts in trade or commerce</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Injunction; actual damages; costs and fees; discretionary trebling subject to cap; AG restraint and restoration</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Practice; trade/commerce; public impact; injury; causation; filing date</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RCW 19.16.100–.950; § 19.16.440</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Collection-agency licensing and prohibited practices</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DOL licensing/discipline; specified violations are per se CPA practices; federal remedies may apply</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Collector identity; license; letters; calls; settlement; ledger</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RCW 19.182.005–.902</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Washington FCRA — disclosure, disputes, blocks, and freezes</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 damages, costs and fees; $1,000 for willful noncompliance; other relief as authorized</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Report page; source disclosure; dispute proof; results; block/freeze records</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RCW 19.255.010–.040</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Security-breach notice and enforcement</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damages and injunction; AG enforcement; cumulative remedies</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notice; dates; data elements; risk review; remediation</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Statute/Act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RCW 9.35.020; RCW 19.182.160–.230</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 theft; blocking; consumer and protected-consumer freezes</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remedies; permanent block and freeze procedures</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identity proof; disputed items; confirmations</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Washington AG — Consumer Protection Division</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intake and CPA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Review, investigation, resolution, or civil enforcement as authorized</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attachments; response; chronology</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Washington DOL / Department of Financial Institutions</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Licensed collectors and state-regulated financial entities</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Licensing or administrative action where authorized</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lookup; complaint file; correspondence</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consumer-affairs codes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Washington and federal frameworks</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 xml:space="preserve">Direct-furnisher dispute exception for identifying </w:t>
            </w:r>
            <w:r w:rsidRPr="00566B6A">
              <w:rPr>
                <w:rFonts w:ascii="Courier New" w:hAnsi="Courier New" w:cs="Courier New"/>
                <w:sz w:val="22"/>
              </w:rPr>
              <w:lastRenderedPageBreak/>
              <w:t>information, addresses, telephone 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 xml:space="preserve">Routes the primary identifying-information dispute to the consumer </w:t>
            </w:r>
            <w:r w:rsidRPr="00566B6A">
              <w:rPr>
                <w:rFonts w:ascii="Courier New" w:hAnsi="Courier New" w:cs="Courier New"/>
                <w:sz w:val="22"/>
              </w:rPr>
              <w:lastRenderedPageBreak/>
              <w:t>reporting agency; CRA-to-furnisher duties may 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 xml:space="preserve">Avoid misrouting; preserve bureau submission, supporting documents, </w:t>
            </w:r>
            <w:r w:rsidRPr="00566B6A">
              <w:rPr>
                <w:rFonts w:ascii="Courier New" w:hAnsi="Courier New" w:cs="Courier New"/>
                <w:sz w:val="22"/>
              </w:rPr>
              <w:lastRenderedPageBreak/>
              <w:t>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B — STATE CASE LAW LIBRARY (REQUIRED)</w:t>
      </w:r>
    </w:p>
    <w:p w14:paraId="571A1F3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Washington (WA)</w:t>
      </w:r>
    </w:p>
    <w:p w14:paraId="202B877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No invented citations. The Collection Agency Act declares specified licensing and prohibited-practice violations unfair or deceptive under the CPA; a private claimant must still document injury and causation.</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Hangman Ridge Training Stables, Inc. v. Safeco Title Insurance Co.</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Wash. Sup. Ct.</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1986</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105 Wn.2d 778, 719 P.2d 531</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Established the five elements of a private CPA claim: an unfair or deceptive act or practice, trade or commerce, public-interest impact, injury to business or property, and causation.</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exact practice and public impact; document a business or property injury and connect each expense or loss to the challenged conduct.</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Panag v. Farmers Insurance Co. of Washington</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Wash. Sup. Ct.</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2009</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166 Wn.2d 27, 204 P.3d 885</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the CPA may reach deceptive collection efforts even when the underlying claim did not arise from a consumer transaction; investigation expenses caused by the practice may establish injury.</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each collection notice and the costs of investigating the alleged debt, including reports, postage, travel, lost business time, and pre-suit legal consultation.</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Evergreen Collectors v. Holt</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Wash. Ct. App.</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1991</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60 Wn. App. 151, 803 P.2d 10</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 prohibited practice under the Collection Agency Act was a per se CPA violation under RCW 19.16.440, including an improper threat to add attorney fees after settlement.</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collection letters, settlement terms, fee threats, payment records, and licensing information; identify the specific RCW 19.16.250 or RCW 19.16.260 prohibition.</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Hangman Ridge Training Stables, Inc. v. Safeco Title Insurance Co.</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Wash. Sup. Ct.</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1986</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105 Wn.2d 778, 719 P.2d 531</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Established the five elements of a private CPA claim: an unfair or deceptive act or practice, trade or commerce, public-interest impact, injury to business or property, and causation.</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exact practice and public impact; document a business or property injury and connect each expense or loss to the challenged conduct.</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Panag v. Farmers Insurance Co. of Washington</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Wash. Sup. Ct.</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2009</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166 Wn.2d 27, 204 P.3d 885</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the CPA may reach deceptive collection efforts even when the underlying claim did not arise from a consumer transaction; investigation expenses caused by the practice may establish injury.</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each collection notice and the costs of investigating the alleged debt, including reports, postage, travel, lost business time, and pre-suit legal consultation.</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Evergreen Collectors v. Holt</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Wash. Ct. App.</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1991</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60 Wn. App. 151, 803 P.2d 10</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 prohibited practice under the Collection Agency Act was a per se CPA violation under RCW 19.16.440, including an improper threat to add attorney fees after settlement.</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collection letters, settlement terms, fee threats, payment records, and licensing information; identify the specific RCW 19.16.250 or RCW 19.16.260 prohibition.</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CRA and furnisher accuracy, reinvestigation, disputes, and reporting. Washington also has a state FCRA, but overlapping claims may be preemption-sensitive and should be evaluated provision by provision.</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Washington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RCW 19.182.070–.090 and .150</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federal and state dispute records; identify the precise RCW duty and evaluate preemption before asserting a parallel claim.</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state law only for distinct conduct</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 1681s-2 and the bureau-notice trail; do not imply a direct state furnisher duty without authority.</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RCW 9.35.020; RCW 19.182.160</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police/FTC reports, identity proof, disputed items, agency notices, and federal requests.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collection 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RCW 19.16.100–.950; § 19.16.440; FDCPA</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DOL/AG complaint; preserve communications, license, disputes, settlement, and prohibited act.</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RCW 19.182.170–.230</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freeze confirmation, access/lift history, authorization, notice, correction, and injury.</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RCW 19.255.010–.040</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notice, data elements, dates, risk review, remediation, and regulator complaint.</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UDAP deceptive 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CPA, chapter 19.86 RCW</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practice, trade/commerce, public impact, injury, causation, and four-year timing.</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w:t>
      </w:r>
      <w:r w:rsidRPr="00566B6A">
        <w:rPr>
          <w:rFonts w:ascii="Courier New" w:hAnsi="Courier New" w:cs="Courier New"/>
          <w:sz w:val="22"/>
        </w:rPr>
        <w:t xml:space="preserve"> identity-theft conduct, deceptive collection communications, Collection Agency Act per se violations, security-freeze violations, breach-notification duties, and CPA deception factually distinct from federal CRA or furnisher obligations.</w:t>
      </w:r>
    </w:p>
    <w:p w14:paraId="1F87A58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w:t>
      </w:r>
      <w:r w:rsidRPr="00566B6A">
        <w:rPr>
          <w:rFonts w:ascii="Courier New" w:hAnsi="Courier New" w:cs="Courier New"/>
          <w:sz w:val="22"/>
        </w:rPr>
        <w:t xml:space="preserve"> Washington claims that restate federal accuracy, reinvestigation, or furnishing duties without an independent state provision and preemption analysis.</w:t>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5 — </w:t>
      </w:r>
      <w:r w:rsidRPr="00566B6A">
        <w:rPr>
          <w:rFonts w:ascii="Courier New" w:hAnsi="Courier New" w:cs="Courier New"/>
          <w:sz w:val="22"/>
        </w:rPr>
        <w:t>File a Washington complaint with the Attorney General, Department of Licensing, or Department of Financial Institutions as the subject and agency jurisdiction require;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lastRenderedPageBreak/>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Washington AG / DOL / DFI complaint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CPA evidence + accrual and filing-date calculation</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Unfair/deceptive act, public impact, injury, causation, and four-year timing</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Washington CPA element and limitation review when unfair or deceptive conduct, injury, causation, and filing date are documented</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 license and regulator-jurisdiction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4A602F2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Washington (WA)</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Statutes / Acts</w:t>
      </w:r>
    </w:p>
    <w:p w14:paraId="1B0966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Washington Consumer Protection Act (CPA) | </w:t>
      </w:r>
      <w:r w:rsidRPr="00566B6A">
        <w:rPr>
          <w:rFonts w:ascii="Courier New" w:hAnsi="Courier New" w:cs="Courier New"/>
          <w:sz w:val="22"/>
        </w:rPr>
        <w:t>RCW 19.86.010 through RCW 19.86.920 | Remedies: injunction, actual damages, costs and reasonable attorney’s fees, and discretionary treble damages subject to the statutory cap; four-year limitation under RCW 19.86.120. | Authority: Washington Attorney General / courts.</w:t>
      </w:r>
    </w:p>
    <w:p w14:paraId="52AAAA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Washington Collection Agency Act | </w:t>
      </w:r>
      <w:r w:rsidRPr="00566B6A">
        <w:rPr>
          <w:rFonts w:ascii="Courier New" w:hAnsi="Courier New" w:cs="Courier New"/>
          <w:sz w:val="22"/>
        </w:rPr>
        <w:t>RCW 19.16.100 through RCW 19.16.950, including RCW 19.16.440 | Remedies: DOL licensing and discipline; specified violations are per se CPA unfair or deceptive practices; federal FDCPA remedies may apply separately. | Authority: Washington DOL / Attorney General / courts.</w:t>
      </w:r>
    </w:p>
    <w:p w14:paraId="785341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Washington Fair Credit Reporting Act | </w:t>
      </w:r>
      <w:r w:rsidRPr="00566B6A">
        <w:rPr>
          <w:rFonts w:ascii="Courier New" w:hAnsi="Courier New" w:cs="Courier New"/>
          <w:sz w:val="22"/>
        </w:rPr>
        <w:t>RCW 19.182.005 through RCW 19.182.902 | Remedies: disclosure, reinvestigation, deletion, identity-theft blocking, freezes, actual damages, costs and fees, and $1,000 for willful noncompliance; two-year chapter limitation. | Authority: courts / consumer reporting agencies.</w:t>
      </w:r>
    </w:p>
    <w:p w14:paraId="2CFF1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Washington Security Breach Notification Law | </w:t>
      </w:r>
      <w:r w:rsidRPr="00566B6A">
        <w:rPr>
          <w:rFonts w:ascii="Courier New" w:hAnsi="Courier New" w:cs="Courier New"/>
          <w:sz w:val="22"/>
        </w:rPr>
        <w:t>RCW 19.255.010 through RCW 19.255.040 | Remedies: consumer damages and injunction, Attorney General enforcement, and required notice procedures; RCW 19.255.040 limits private CPA enforcement. | Authority: Washington Attorney General / courts.</w:t>
      </w:r>
    </w:p>
    <w:p w14:paraId="515DA0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Washington Identity-Theft and Restoration Provisions | </w:t>
      </w:r>
      <w:r w:rsidRPr="00566B6A">
        <w:rPr>
          <w:rFonts w:ascii="Courier New" w:hAnsi="Courier New" w:cs="Courier New"/>
          <w:sz w:val="22"/>
        </w:rPr>
        <w:t>RCW 9.35.020 and RCW 19.182.160 through RCW 19.182.230 | Remedies: criminal enforcement, permanent report blocking, and consumer or protected-consumer freezes. | Authority: law enforcement / courts / consumer reporting agencies.</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56DF33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Washington Department of Licensing Collection Agency Rules — </w:t>
      </w:r>
      <w:r w:rsidRPr="00566B6A">
        <w:rPr>
          <w:rFonts w:ascii="Courier New" w:hAnsi="Courier New" w:cs="Courier New"/>
          <w:sz w:val="22"/>
        </w:rPr>
        <w:t>chapter 308-29 WAC and applicable chapter 308-08 WAC procedures govern licensing, records, complaints, and proceedings. Verify current text before relying on a rule.</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Washington Attorney General — Consumer Protection Division: </w:t>
      </w:r>
      <w:r w:rsidRPr="00566B6A">
        <w:rPr>
          <w:rFonts w:ascii="Courier New" w:hAnsi="Courier New" w:cs="Courier New"/>
          <w:sz w:val="22"/>
        </w:rPr>
        <w:t>consumer complaint intake and CPA enforcement guidance.</w:t>
      </w:r>
    </w:p>
    <w:p w14:paraId="33362F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Washington Department of Licensing — Collection Agencies: </w:t>
      </w:r>
      <w:r w:rsidRPr="00566B6A">
        <w:rPr>
          <w:rFonts w:ascii="Courier New" w:hAnsi="Courier New" w:cs="Courier New"/>
          <w:sz w:val="22"/>
        </w:rPr>
        <w:t>complaints, licensing, and collector oversight.</w:t>
      </w:r>
    </w:p>
    <w:p w14:paraId="40D5DED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Washington Department of Financial Institutions: </w:t>
      </w:r>
      <w:r w:rsidRPr="00566B6A">
        <w:rPr>
          <w:rFonts w:ascii="Courier New" w:hAnsi="Courier New" w:cs="Courier New"/>
          <w:sz w:val="22"/>
        </w:rPr>
        <w:t>complaint pathway for regulated institutions and financial-service providers within its jurisdiction.</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Ordinances</w:t>
      </w:r>
    </w:p>
    <w:p w14:paraId="70590F38"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credit-reporting disputes; none are identified as directly applicable in Washington without municipal verification.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Hangman Ridge Training Stables, Inc. v. Safeco Title Insurance Co.</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Wash. Sup. Ct.</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1986</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105 Wn.2d 778, 719 P.2d 531</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Established the five elements of a private CPA claim: an unfair or deceptive act or practice, trade or commerce, public-interest impact, injury to business or property, and causation.</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exact practice and public impact; document a business or property injury and connect each expense or loss to the challenged conduct.</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Panag v. Farmers Insurance Co. of Washington</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Wash. Sup. Ct.</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2009</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166 Wn.2d 27, 204 P.3d 885</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the CPA may reach deceptive collection efforts even when the underlying claim did not arise from a consumer transaction; investigation expenses caused by the practice may establish injury.</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each collection notice and the costs of investigating the alleged debt, including reports, postage, travel, lost business time, and pre-suit legal consultation.</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Evergreen Collectors v. Holt</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Wash. Ct. App.</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1991</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60 Wn. App. 151, 803 P.2d 10</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 prohibited practice under the Collection Agency Act was a per se CPA violation under RCW 19.16.440, including an improper threat to add attorney fees after settlement.</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collection letters, settlement terms, fee threats, payment records, and licensing information; identify the specific RCW 19.16.250 or RCW 19.16.260 prohibition.</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149D085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w:t>
      </w:r>
      <w:r w:rsidRPr="00566B6A">
        <w:rPr>
          <w:rFonts w:ascii="Courier New" w:hAnsi="Courier New" w:cs="Courier New"/>
          <w:sz w:val="22"/>
        </w:rPr>
        <w:t xml:space="preserve"> TK-Authority-2026-07-WA</w:t>
      </w:r>
    </w:p>
    <w:p w14:paraId="67548EF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w:t>
      </w:r>
      <w:r w:rsidRPr="00566B6A">
        <w:rPr>
          <w:rFonts w:ascii="Courier New" w:hAnsi="Courier New" w:cs="Courier New"/>
          <w:sz w:val="22"/>
        </w:rPr>
        <w:t xml:space="preserve"> July 24, 2026</w:t>
      </w:r>
    </w:p>
    <w:p w14:paraId="31FCC85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w:t>
      </w:r>
      <w:r w:rsidRPr="00566B6A">
        <w:rPr>
          <w:rFonts w:ascii="Courier New" w:hAnsi="Courier New" w:cs="Courier New"/>
          <w:sz w:val="22"/>
        </w:rPr>
        <w:t xml:space="preserve"> Federal + WA</w:t>
      </w:r>
    </w:p>
    <w:p w14:paraId="499F413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lastRenderedPageBreak/>
        <w:t>Update Discipline: Citations must be validated against official sources before inclusion. Washington statutes and administrative rules were checked against current Washington Legislature and Department of Licensing publications. Federal FCRA authorities were checked against the U.S. Code and current Regulation V materials available on July 24, 2026.</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73AAC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was generated using a continuously updated authority library designed to identify relevant federal and Washington consumer-protection authorities. Statutes, regulations, agency guidance, and judicial decisions may change over time. This section is educational and informational only and does not constitute legal advice or legal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Washington Administrative Code citation by agency, chapter, and section.</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5A489BC8" w14:textId="77777777" w:rsidR="00BD7EED" w:rsidRDefault="00BD7EED">
      <w:pPr>
        <w:keepLines/>
        <w:spacing w:before="40" w:after="0"/>
        <w:rPr>
          <w:rFonts w:ascii="Courier New" w:hAnsi="Courier New" w:cs="Courier New"/>
          <w:i/>
          <w:color w:val="464646"/>
          <w:sz w:val="22"/>
        </w:rPr>
      </w:pPr>
    </w:p>
    <w:p w14:paraId="793F004D" w14:textId="77777777" w:rsidR="00BD7EED" w:rsidRDefault="00BD7EED">
      <w:pPr>
        <w:keepLines/>
        <w:spacing w:before="40" w:after="0"/>
        <w:rPr>
          <w:rFonts w:ascii="Courier New" w:hAnsi="Courier New" w:cs="Courier New"/>
          <w:i/>
          <w:color w:val="464646"/>
          <w:sz w:val="22"/>
        </w:rPr>
      </w:pPr>
    </w:p>
    <w:p w14:paraId="4EA59E70" w14:textId="77777777" w:rsidR="00BD7EED" w:rsidRDefault="00BD7EED">
      <w:pPr>
        <w:keepLines/>
        <w:spacing w:before="40" w:after="0"/>
        <w:rPr>
          <w:rFonts w:ascii="Courier New" w:hAnsi="Courier New" w:cs="Courier New"/>
          <w:i/>
          <w:color w:val="464646"/>
          <w:sz w:val="22"/>
        </w:rPr>
      </w:pPr>
    </w:p>
    <w:p w14:paraId="41B72AA8" w14:textId="77777777" w:rsidR="00BD7EED" w:rsidRDefault="00BD7EED">
      <w:pPr>
        <w:keepLines/>
        <w:spacing w:before="40" w:after="0"/>
        <w:rPr>
          <w:rFonts w:ascii="Courier New" w:hAnsi="Courier New" w:cs="Courier New"/>
          <w:i/>
          <w:color w:val="464646"/>
          <w:sz w:val="22"/>
        </w:rPr>
      </w:pPr>
    </w:p>
    <w:p w14:paraId="42B7C716" w14:textId="77777777" w:rsidR="00BD7EED" w:rsidRDefault="00BD7EED">
      <w:pPr>
        <w:keepLines/>
        <w:spacing w:before="40" w:after="0"/>
        <w:rPr>
          <w:rFonts w:ascii="Courier New" w:hAnsi="Courier New" w:cs="Courier New"/>
          <w:i/>
          <w:color w:val="464646"/>
          <w:sz w:val="22"/>
        </w:rPr>
      </w:pPr>
    </w:p>
    <w:p w14:paraId="5C3A8A05" w14:textId="77777777" w:rsidR="00BD7EED" w:rsidRDefault="00BD7EED">
      <w:pPr>
        <w:keepLines/>
        <w:spacing w:before="40" w:after="0"/>
        <w:rPr>
          <w:rFonts w:ascii="Courier New" w:hAnsi="Courier New" w:cs="Courier New"/>
          <w:i/>
          <w:color w:val="464646"/>
          <w:sz w:val="22"/>
        </w:rPr>
      </w:pPr>
    </w:p>
    <w:p w14:paraId="0BEFAA58" w14:textId="77777777" w:rsidR="00BD7EED" w:rsidRDefault="00BD7EED">
      <w:pPr>
        <w:keepLines/>
        <w:spacing w:before="40" w:after="0"/>
        <w:rPr>
          <w:rFonts w:ascii="Courier New" w:hAnsi="Courier New" w:cs="Courier New"/>
          <w:i/>
          <w:color w:val="464646"/>
          <w:sz w:val="22"/>
        </w:rPr>
      </w:pPr>
    </w:p>
    <w:p w14:paraId="72054B27" w14:textId="77777777" w:rsidR="00BD7EED" w:rsidRDefault="00BD7EED">
      <w:pPr>
        <w:keepLines/>
        <w:spacing w:before="40" w:after="0"/>
        <w:rPr>
          <w:rFonts w:ascii="Courier New" w:hAnsi="Courier New" w:cs="Courier New"/>
          <w:i/>
          <w:color w:val="464646"/>
          <w:sz w:val="22"/>
        </w:rPr>
      </w:pPr>
    </w:p>
    <w:p w14:paraId="1C34DB2E" w14:textId="77777777" w:rsidR="00BD7EED" w:rsidRDefault="00BD7EED">
      <w:pPr>
        <w:keepLines/>
        <w:spacing w:before="40" w:after="0"/>
        <w:rPr>
          <w:rFonts w:ascii="Courier New" w:hAnsi="Courier New" w:cs="Courier New"/>
          <w:i/>
          <w:color w:val="464646"/>
          <w:sz w:val="22"/>
        </w:rPr>
      </w:pPr>
    </w:p>
    <w:p w14:paraId="6D976413" w14:textId="77777777" w:rsidR="00BD7EED" w:rsidRDefault="00BD7EED">
      <w:pPr>
        <w:keepLines/>
        <w:spacing w:before="40" w:after="0"/>
        <w:rPr>
          <w:rFonts w:ascii="Courier New" w:hAnsi="Courier New" w:cs="Courier New"/>
          <w:i/>
          <w:color w:val="464646"/>
          <w:sz w:val="22"/>
        </w:rPr>
      </w:pPr>
    </w:p>
    <w:p w14:paraId="372A5196" w14:textId="77777777" w:rsidR="00BD7EED" w:rsidRDefault="00BD7EED">
      <w:pPr>
        <w:keepLines/>
        <w:spacing w:before="40" w:after="0"/>
        <w:rPr>
          <w:rFonts w:ascii="Courier New" w:hAnsi="Courier New" w:cs="Courier New"/>
          <w:i/>
          <w:color w:val="464646"/>
          <w:sz w:val="22"/>
        </w:rPr>
      </w:pPr>
    </w:p>
    <w:p w14:paraId="335C40D1" w14:textId="77777777" w:rsidR="00BD7EED" w:rsidRDefault="00BD7EED">
      <w:pPr>
        <w:keepLines/>
        <w:spacing w:before="40" w:after="0"/>
        <w:rPr>
          <w:rFonts w:ascii="Courier New" w:hAnsi="Courier New" w:cs="Courier New"/>
          <w:i/>
          <w:color w:val="464646"/>
          <w:sz w:val="22"/>
        </w:rPr>
      </w:pPr>
    </w:p>
    <w:p w14:paraId="6FD257A4" w14:textId="77777777" w:rsidR="00BD7EED" w:rsidRDefault="00BD7EED">
      <w:pPr>
        <w:keepLines/>
        <w:spacing w:before="40" w:after="0"/>
        <w:rPr>
          <w:rFonts w:ascii="Courier New" w:hAnsi="Courier New" w:cs="Courier New"/>
          <w:i/>
          <w:color w:val="464646"/>
          <w:sz w:val="22"/>
        </w:rPr>
      </w:pPr>
    </w:p>
    <w:p w14:paraId="6CD0DD27" w14:textId="77777777" w:rsidR="00BD7EED" w:rsidRPr="00566B6A" w:rsidRDefault="00BD7EED">
      <w:pPr>
        <w:keepLines/>
        <w:spacing w:before="40" w:after="0"/>
        <w:rPr>
          <w:rFonts w:ascii="Courier New" w:hAnsi="Courier New" w:cs="Courier New"/>
          <w:sz w:val="22"/>
        </w:rPr>
      </w:pPr>
    </w:p>
    <w:sectPr w:rsidR="00BD7EED" w:rsidRPr="00566B6A"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3305C" w14:textId="77777777" w:rsidR="00477C98" w:rsidRDefault="00477C98">
      <w:pPr>
        <w:spacing w:after="0" w:line="240" w:lineRule="auto"/>
      </w:pPr>
      <w:r>
        <w:separator/>
      </w:r>
    </w:p>
  </w:endnote>
  <w:endnote w:type="continuationSeparator" w:id="0">
    <w:p w14:paraId="017785DC" w14:textId="77777777" w:rsidR="00477C98" w:rsidRDefault="00477C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D38B2" w14:textId="77777777" w:rsidR="00477C98" w:rsidRDefault="00477C98">
      <w:pPr>
        <w:spacing w:after="0" w:line="240" w:lineRule="auto"/>
      </w:pPr>
      <w:r>
        <w:separator/>
      </w:r>
    </w:p>
  </w:footnote>
  <w:footnote w:type="continuationSeparator" w:id="0">
    <w:p w14:paraId="3CE21409" w14:textId="77777777" w:rsidR="00477C98" w:rsidRDefault="00477C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WASHINGTON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5074B"/>
    <w:rsid w:val="0029639D"/>
    <w:rsid w:val="00326F90"/>
    <w:rsid w:val="00463F22"/>
    <w:rsid w:val="00477C98"/>
    <w:rsid w:val="00566B6A"/>
    <w:rsid w:val="00655F05"/>
    <w:rsid w:val="006F27AD"/>
    <w:rsid w:val="00736F61"/>
    <w:rsid w:val="00756B19"/>
    <w:rsid w:val="00964317"/>
    <w:rsid w:val="00AA1D8D"/>
    <w:rsid w:val="00B47730"/>
    <w:rsid w:val="00BD7EED"/>
    <w:rsid w:val="00C472EA"/>
    <w:rsid w:val="00CB0664"/>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4298</Words>
  <Characters>24502</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28743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2026-07-24T22:17:00Z</dcterms:created>
  <dcterms:modified xsi:type="dcterms:W3CDTF">2026-07-24T22:17:00Z</dcterms:modified>
  <cp:category/>
</cp:coreProperties>
</file>