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West Virginia (WV)</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None identified</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West Virginia Consumer Credit and Protection Act (WVCCPA)</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W. Va. Code §§ 46A-1-101 through 46A-8-109</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unfair or deceptive acts or practices in trade or commerce and regulates consumer credit, debt collection, credit services, and related consumer transactions.</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 qualifying consumer may seek actual damages or $200, whichever is greater, for an ascertainable loss proximately caused by a prohibited act under W. Va. Code § 46A-6-106. Other WVCCPA remedies may include statutory penalties, equitable relief, and attorney’s fees where authorized. The Attorney General may pursue injunctive, restitutionary, and civil enforcement relief.</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Available under applicable WVCCPA provisions, subject to the specific claim, transaction, proof, and remedy requirements. For Article 6 claims, the consumer must document an actual out-of-pocket loss proximately caused by the alleged violation; reliance is required when the theory is an affirmative misrepresentation. The generally applicable four-year period is stated in W. Va. Code § 46A-5-101(1).</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West Virginia Attorney General — Consumer Protection Division, under W. Va. Code § 46A-7-101 and related Article 7 powers.</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Collection/tradeline derogatory activity present — review West Virginia debt-collection prohibitions, collection-agency requirements, and federal debt-collection law.</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Overview: W. Va. Code §§ 46A-2-122 through 46A-2-129a regulate debt-collection conduct. The Collection Agency Act of 1973, W. Va. Code §§ 47-16-1 through 47-16-5, addresses collection-</w:t>
      </w:r>
      <w:r w:rsidRPr="00566B6A">
        <w:rPr>
          <w:rFonts w:ascii="Courier New" w:hAnsi="Courier New" w:cs="Courier New"/>
          <w:bCs/>
          <w:sz w:val="22"/>
        </w:rPr>
        <w:lastRenderedPageBreak/>
        <w:t>agency registration, bonding, and records. The federal FDCPA applies separately to qualifying debt collectors.</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W. Va. Code §§ 46A-2-122 through 46A-2-129a; §§ 47-16-1 through 47-16-5;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West Virginia Attorney General; West Virginia State Tax Department / Tax Commissioner for applicable collection-agency registration matters; Division of Financial Institutions where jurisdiction applies; CFPB and FTC for federal matters.</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No broad West Virginia analogue to the federal FCRA governing general accuracy and reinvestigation duties was identified for this module. Federal FCRA procedures remain the primary framework.</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West Virginia consumers may request placement, temporary lifting, or removal of a security freeze under W. Va. Code §§ 46A-6L-101 through 46A-6L-105.</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obtain file disclosures under the FCRA and may use West Virginia security-freeze procedures to control certain releases of credit reports.</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Inaccurate, incomplete, or unverifiable addresses, telephone numbers, employer entries, and other personal identifiers may be disputed directly with the consumer reporting agency under 15 U.S.C. § 1681i. Following a reasonable reinvestigation, the agency must delete or modify the item as appropriate. West Virginia claims should be evaluated separately for FCRA preemption.</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Initial and extended fraud alerts arise principally under federal law; West Virginia supplements identity protection through its security-freeze and identity-theft provisions.</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W. Va. Code § 46A-6L-104 provides specified relief for negligent or willful failure to comply with a valid security freeze, subject to the statute’s terms; § 46A-6L-105 also classifies a violation as an unlawful act under Article 6.</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Maximum possible accuracy: Whenever a consumer reporting agency prepares a consumer report, 15 U.S.C. § 1681e(b) requires reasonable procedures designed to assure maximum possible accuracy </w:t>
      </w:r>
      <w:r w:rsidRPr="00566B6A">
        <w:rPr>
          <w:rFonts w:ascii="Courier New" w:hAnsi="Courier New" w:cs="Courier New"/>
          <w:bCs/>
          <w:sz w:val="22"/>
        </w:rPr>
        <w:lastRenderedPageBreak/>
        <w:t>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w:t>
      </w:r>
      <w:r w:rsidRPr="00566B6A">
        <w:rPr>
          <w:rFonts w:ascii="Courier New" w:hAnsi="Courier New" w:cs="Courier New"/>
          <w:bCs/>
          <w:sz w:val="22"/>
        </w:rPr>
        <w:lastRenderedPageBreak/>
        <w:t>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W. Va. Code § 61-3-54 criminalizes identity theft and related fraudulent use of another person’s identifying information, subject to the statute’s elements and penalties.</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restoration: A West Virginia consumer may combine a police or FTC identity-theft report, federal FCRA blocking and fraud-alert procedures, and the state security-freeze process under W. Va. Code §§ 46A-6L-101 through 46A-6L-105.</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W. Va. Code § 46A-2A-102 requires qualifying notice to affected West Virginia residents after discovery or notification of a breach of unencrypted and unredacted personal information, subject to statutory exceptions and timing rules.</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West Virginia’s breach-notification provisions are codified at W. Va. Code §§ 46A-2A-101 through 46A-2A-105; security-freeze provisions are codified at §§ 46A-6L-101 through 46A-6L-105.</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No general omnibus West Virginia consumer-data privacy act was identified for this module; sector-specific West Virginia and federal privacy rules may apply depending on the holder and type of information.</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Security duties: Covered entities should preserve breach investigation records, notice content, delivery dates, law-enforcement delay requests,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West Virginia Attorney General: Consumer Protection Division — consumer complaint intake and WVCCPA enforcement under Article 7.</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West Virginia State Tax Department / Tax Commissioner: Registration, bonding, and record oversight for collection agencies under W. Va. Code §§ 47-16-1 through 47-16-5, as applicable.</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West Virginia Division of Financial Institutions: Complaint pathway for state-chartered or state-supervised financial institutions and regulated consumer lenders, as jurisdiction permits.</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West Virginia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 Va. Code §§ 46A-1-101–46A-8-109</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WVCCPA — consumer credit and unfair or deceptive practices</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Private, statutory, equitable, and Attorney General relief where authorized</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Transaction proof; representation or omission; out-of-pocket loss; causation; four-year timing</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 Va. Code §§ 46A-2-122–129a; §§ 47-16-1–5</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Debt-collection conduct; collection-agency registration, bond, and records</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Private/statutory relief where authorized; agency and court enforcement; federal remedies separately</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 identity; registration/bond status; letters; call logs; payment ledger</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 Va. Code §§ 46A-6L-101–105</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 freezes and prohibited release of frozen reports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Specified relief under § 46A-6L-104; unlawful-act treatment under § 46A-6L-105</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confirmation; access request; release record; notice and correction trail</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 Va. Code §§ 46A-2A-101–105</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Security-breach investigation and consumer notice</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Attorney General or functional-regulator enforcement; civil penalties where authorized</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notice; dates; data elements; investigation and remediation records</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 Va. Code § 61-3-54; §§ 46A-6L-101–105</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theft and security-freeze protection</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penalties; identity-protection and qualifying civil remedies</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 affidavit; creditor and bureau notices; freeze record</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West Virginia AG — Consumer Protection Division</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complaint intake and WVCCPA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Review, investigation, voluntary compliance, or civil enforcement as authorized</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agency response;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West Virginia State Tax Department / Division of Financial Institutions</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Collection-agency requirements and state-supervised financial entities</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Jurisdictional review and administrative action where authorized</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Registration/bond lookup; complaint file; regulator correspondence</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West Virginia and federal frameworks</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West Virginia (WV)</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The debt-collection decision below is a West Virginia Supreme Court of Appeals memorandum decision affirming Attorney General enforcement under the WVCCPA; it should not be described as resolving every element of a private consumer claim.</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White v. Wyeth</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 Va. Sup. Ct. App.</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2010</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227 W. Va. 131, 705 S.E.2d 828</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Explains that a private WVCCPA deceptive-practices claim requires unlawful conduct, an ascertainable loss, and a causal connection. Reliance is required when the theory is an affirmative misrepresentation.</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exact representation or omission, transaction proof, actual out-of-pocket loss, and evidence linking the loss to the challenged conduct.</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Quicken Loans, Inc. v. Brown</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 Va. Sup. Ct. App.</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2012</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230 W. Va. 306, 737 S.E.2d 640</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Addresses fraud, unconscionable lending terms, and multiple WVCCPA claims arising from a consumer mortgage transaction; the judgment was affirmed in part and reversed in part.</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applications, appraisals, underwriting records, disclosures, call notes, loan terms, payment history, and proof of resulting loss.</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CashCall, Inc. v. Morrisey</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 Va. Sup. Ct. App.</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2014</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12-1274 (W. Va. May 30, 2014)</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Affirmed Attorney General enforcement findings involving abusive calls, third-party disclosures, false threats, unauthorized fees, and unlawful lending or collection practices under the WVCCPA.</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call logs and recordings, letters, third-party contacts, threats, fee and payment-method records, account ledgers, and Attorney General complaint materials.</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White v. Wyeth</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 Va. Sup. Ct. App.</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2010</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227 W. Va. 131, 705 S.E.2d 828</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Explains that a private WVCCPA deceptive-practices claim requires unlawful conduct, an ascertainable loss, and a causal connection. Reliance is required when the theory is an affirmative misrepresentation.</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exact representation or omission, transaction proof, actual out-of-pocket loss, and evidence linking the loss to the challenged conduct.</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Quicken Loans, Inc. v. Brown</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 Va. Sup. Ct. App.</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2012</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230 W. Va. 306, 737 S.E.2d 640</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Addresses fraud, unconscionable lending terms, and multiple WVCCPA claims arising from a consumer mortgage transaction; the judgment was affirmed in part and reversed in part.</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applications, appraisals, underwriting records, disclosures, call notes, loan terms, payment history, and proof of resulting loss.</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CashCall, Inc. v. Morrisey</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 Va. Sup. Ct. App.</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2014</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12-1274 (W. Va. May 30, 2014)</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Affirmed Attorney General enforcement findings involving abusive calls, third-party disclosures, false threats, unauthorized fees, and unlawful lending or collection practices under the WVCCPA.</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call logs and recordings, letters, third-party contacts, threats, fee and payment-method records, account ledgers, and Attorney General complaint materials.</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duties concerning accuracy, reinvestigation, dispute processing, and reporting. West Virginia claims that duplicate or conflict with those duties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West Virginia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broad West Virginia mini-FCRA identified; Articles 2A and 6L address breach/freeze</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FCRA dispute and method-of-verification record; avoid pleading parallel West Virginia reporting duties without specific authority.</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West Virginia law evaluated only for distinct conduct</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15 U.S.C. § 1681s-2 framework and bureau-dispute notice trail.</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 Va. Code § 61-3-54; §§ 46A-6L-101–105</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identity-theft reports, security-freeze requests, and federal blocking requests.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 Va. Code §§ 46A-2-122–129a; §§ 47-16-1–5; federal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Attorney General, Tax Department, or DFI complaint as jurisdiction permits; preserve communications, disputes, and registration information.</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 Va. Code §§ 46A-6L-101–105</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release history, notice, correction request, and resulting damages.</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 Va. Code §§ 46A-2A-101–105</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breach notice, data elements, dates, investigation findings, and regulator complaint.</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WVCCPA, §§ 46A-6-104–106; § 46A-5-101</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a distinct prohibited act, consumer transaction, actual out-of-pocket loss, proximate cause, and reliance when required.</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 identity-theft conduct, deceptive collection communications, security-freeze violations, breach-notification duties, and WVCCPA consumer-transaction deception that is factually distinct from CRA/furnisher reporting obligations.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 West Virginia claims that attempt to impose accuracy, reinvestigation, or furnishing duties parallel to the FCRA.</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Step 5 — File a West Virginia complaint with the Attorney General, State Tax Department / Tax Commissioner, or Division of Financial Institutions as the subject and agency jurisdiction require;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West Virginia AG / Tax / DFI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WVCCPA evidence + limitation record</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Prohibited act, transaction, actual out-of-pocket loss, proximate cause, reliance when required, and timing</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West Virginia WVCCPA claim-element review: prohibited act, consumer transaction, actual out-of-pocket loss, proximate cause, reliance when required, and applicable limitation period</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and regulator-jurisdiction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West Virginia (WV)</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West Virginia Consumer Credit and Protection Act (WVCCPA) | W. Va. Code §§ 46A-1-101 through 46A-8-109 | Remedies: actual damages or $200 for qualifying Article 6 private claims; other statutory, equitable, fee, and Attorney General remedies where authorized. | Authority: West Virginia Attorney General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West Virginia Debt Collection Provisions and Collection Agency Act | W. Va. Code §§ 46A-2-122 through 46A-2-129a; §§ 47-16-1 through 47-16-5 | Remedies: private and statutory relief where authorized; collection-agency registration, bond, and record requirements; federal FDCPA remedies may apply separately. | Authority: courts / Attorney General / Tax Commissioner.</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lastRenderedPageBreak/>
        <w:t>West Virginia Security Freeze Law | W. Va. Code §§ 46A-6L-101 through 46A-6L-105 | Remedies: specified damages, costs, and attorney’s fees for qualifying negligent or willful violations; Article 6 unlawful-act treatment under § 46A-6L-105. | Authority: courts / Attorney General.</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West Virginia Breach of Security of Consumer Information Law | W. Va. Code §§ 46A-2A-101 through 46A-2A-105 | Remedies: required notice and Attorney General or functional-regulator enforcement, including civil penalties where authorized. | Authority: West Virginia Attorney General / functional regulator.</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West Virginia Identity-Theft Provision | W. Va. Code § 61-3-54, together with §§ 46A-6L-101 through 46A-6L-105 | Remedies: criminal penalties and identity-protection procedures where statutory requirements are met. | Authority: law enforcement / courts / Attorney General.</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West Virginia consumer-protection and financial-regulation rules — consult current legislative rules administered by the Attorney General, State Tax Commissioner, and Division of Financial Institutions. Verify the exact series and section before filing or relying on a rule.</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West Virginia Attorney General — Consumer Protection Division: consumer complaint intake and WVCCPA enforcement guidance.</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West Virginia State Tax Department / Tax Commissioner: collection-agency registration, bond, and record requirements under Chapter 47, Article 16.</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West Virginia Division of Financial Institutions: consumer complaint pathway for institutions or credit businesses within the Division’s jurisdiction.</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West Virginia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White v. Wyeth</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 Va. Sup. Ct. App.</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2010</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227 W. Va. 131, 705 S.E.2d 828</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Explains that a private WVCCPA deceptive-practices claim requires unlawful conduct, an ascertainable loss, and a causal connection. Reliance is required when the theory is an affirmative misrepresentation.</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exact representation or omission, transaction proof, actual out-of-pocket loss, and evidence linking the loss to the challenged conduct.</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Quicken Loans, Inc. v. Brown</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 Va. Sup. Ct. App.</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2012</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230 W. Va. 306, 737 S.E.2d 640</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Addresses fraud, unconscionable lending terms, and multiple WVCCPA claims arising from a consumer mortgage transaction; the judgment was affirmed in part and reversed in part.</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applications, appraisals, underwriting records, disclosures, call notes, loan terms, payment history, and proof of resulting loss.</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CashCall, Inc. v. Morrisey</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 Va. Sup. Ct. App.</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2014</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12-1274 (W. Va. May 30, 2014)</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Affirmed Attorney General enforcement findings involving abusive calls, third-party disclosures, false threats, unauthorized fees, and unlawful lending or collection practices under the WVCCPA.</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call logs and recordings, letters, third-party contacts, threats, fee and payment-method records, account ledgers, and Attorney General complaint materials.</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 TK-Authority-2026-07-WV</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 July 24,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 Federal + WV</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Citations must be validated against official sources before inclusion. West Virginia statutory references in this version were checked against the West Virginia Legislature’s current publications. Federal FCRA authorities were checked against the Office of the Law Revision Counsel U.S. Code and current Regulation V materials available on July 24,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was generated using a continuously updated authority library designed to identify relevant federal and West Virginia consumer-protection authorities. Statutes, regulations, agency guidance, and judicial decisions may change over time. This section is educational and informational only and does not constitute legal advice or legal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West Virginia administrative rule citation by agency, series, and 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6C3AD" w14:textId="77777777" w:rsidR="008D41CC" w:rsidRDefault="008D41CC">
      <w:pPr>
        <w:spacing w:after="0" w:line="240" w:lineRule="auto"/>
      </w:pPr>
      <w:r>
        <w:separator/>
      </w:r>
    </w:p>
  </w:endnote>
  <w:endnote w:type="continuationSeparator" w:id="0">
    <w:p w14:paraId="162B29F2" w14:textId="77777777" w:rsidR="008D41CC" w:rsidRDefault="008D41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66251" w14:textId="77777777" w:rsidR="008D41CC" w:rsidRDefault="008D41CC">
      <w:pPr>
        <w:spacing w:after="0" w:line="240" w:lineRule="auto"/>
      </w:pPr>
      <w:r>
        <w:separator/>
      </w:r>
    </w:p>
  </w:footnote>
  <w:footnote w:type="continuationSeparator" w:id="0">
    <w:p w14:paraId="60654A71" w14:textId="77777777" w:rsidR="008D41CC" w:rsidRDefault="008D41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WEST VIRGINIA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6F90"/>
    <w:rsid w:val="00405F4F"/>
    <w:rsid w:val="00463F22"/>
    <w:rsid w:val="00566B6A"/>
    <w:rsid w:val="00655F05"/>
    <w:rsid w:val="006F27AD"/>
    <w:rsid w:val="00736F61"/>
    <w:rsid w:val="00756B19"/>
    <w:rsid w:val="008D41CC"/>
    <w:rsid w:val="00964317"/>
    <w:rsid w:val="00AA1D8D"/>
    <w:rsid w:val="00B47730"/>
    <w:rsid w:val="00BD7EED"/>
    <w:rsid w:val="00CB0664"/>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4415</Words>
  <Characters>25170</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29526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GLADIC AI Section 3A — West Virginia</dc:title>
  <dc:subject>West Virginia consumer-protection, debt-collection, identity-theft, security-freeze, breach-notification, and FCRA procedural authorities</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2026-07-24T22:06:00Z</dcterms:created>
  <dcterms:modified xsi:type="dcterms:W3CDTF">2026-07-24T22:06:00Z</dcterms:modified>
  <cp:category/>
</cp:coreProperties>
</file>