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Wisconsin (WI)</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Wisconsin Consumer Act (WCA) and Fraudulent Representations Law</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Wis. Stat. chs. 421 through 427; Wis. Stat. § 100.18</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The WCA regulates covered consumer credit transactions and debt collection. Wis. Stat. § 100.18 prohibits specified untrue, deceptive, or misleading factual representations made to the public to promote a sale or induce a contract or obligation.</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The WCA provides statutory remedies through Wis. Stat. ch. 425, including actual damages, specified penalties, and attorney fees where authorized. Section 100.18 permits recovery of proven pecuniary loss, costs, and reasonable attorney fees; state enforcement may include injunctions and restoration.</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Available under the applicable WCA remedy and Wis. Stat. § 100.18(11)(b)2. Section 100.18 has a three-year statute of repose under § 100.18(11)(b)3. WCA actions follow § 425.307's one- or two-year triggering periods, subject to a six-year outer limit. Current § 893.93(1m)(a) generally supplies three years only when no different statutory period applies.</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Wisconsin Department of Agriculture, Trade and Consumer Protection (DATCP); Wisconsin Department of Justice / Attorney General and district attorneys as authorized by Wis. Stat. § 100.18(11).</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Wisconsin debt-collection conduct requirements, collection-agency licensing, and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Overview: Wis. Stat. ch. 427 regulates prohibited collection practices in covered deferred-payment consumer transactions and can reach first-party as well as third-party collectors. Wis. Stat. § 218.04 governs qualifying collection-agency licensing. The federal FDCPA applies separately to qualifying debt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Wis. Stat. ch. 427, including §§ 427.104–427.105; Wis. Stat. § 218.04;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Wisconsin Department of Financial Institutions (DFI); Wisconsin DATCP; Wisconsin Department of Justice;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No broad Wisconsin analogue to the federal FCRA governing general report accuracy and reinvestigation duties was identified for this module. Wisconsin separately regulates security freezes under Wis. Stat. §§ 100.54 and 100.545; federal FCRA procedures remain the primary reporting framework.</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Wisconsin consumers may request placement, temporary release, or removal of a security freeze under Wis. Stat. § 100.54; Wis. Stat. § 100.545 addresses protected consumers.</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federal FCRA and may use Wisconsin security-freeze procedures to restrict specified credit-related releases of consumer reports.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Following a reasonable reinvestigation, the agency must delete or modify the item as appropriate. Wisconsin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Wisconsin supplements identity restoration through its identity-theft reporting and security-freeze provisions.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Wis. Stat. § 100.54(13)(b) provides actual damages, costs, and reasonable attorney fees for a failure to comply that causes an individual loss, subject to the statute's terms.</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w:t>
      </w:r>
      <w:r w:rsidRPr="00566B6A">
        <w:rPr>
          <w:rFonts w:ascii="Courier New" w:hAnsi="Courier New" w:cs="Courier New"/>
          <w:bCs/>
          <w:sz w:val="22"/>
        </w:rPr>
        <w:lastRenderedPageBreak/>
        <w:t>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Wis. Stat. § 943.201 criminalizes specified unauthorized use or attempted use of an individual's personal identifying information or documents.</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Law-enforcement report: Under Wis. Stat. § 943.201(4), the local law-enforcement agency must prepare a report when an individual reports facts meeting the statutory identity-theft criteria.</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Wis. Stat. § 134.98 requires covered businesses and governmental entities to notify affected Wisconsin residents after qualifying unauthorized acquisition of personal information, generally within a reasonable time not exceeding 45 days, subject to material-risk, good-faith, law-enforcement, and statutory exceptions.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Wisconsin security-freeze provisions are codified at Wis. Stat. §§ 100.54 and 100.545; breach-notification duties are codified at Wis. Stat. § 134.98.</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Privacy rights: No general omnibus Wisconsin consumer-data privacy act was identified for this module; sector-specific Wisconsin and federal privacy rules may apply depending on the holder and type of information.</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Wisconsin DATCP — Bureau of Consumer Protection: Consumer complaint intake and enforcement of Wis. Stat. § 100.18 and related trade-practice authorities.</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Wisconsin Department of Financial Institutions: Administration of the Wisconsin Consumer Act, WCA complaint intake, and collection-agency licensing and oversight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Wisconsin Department of Justice / Attorney General: State consumer-protection litigation and enforcement in coordination with DATCP or other agencies as authorized.</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Wisconsin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 Stat. chs. 421–427; § 100.18</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Covered consumer credit practices and fraudulent representations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WCA remedies under ch. 425; pecuniary loss, costs, and fees under § 100.18; state injunctive/restorative relief</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proof; exact representation; public/sales intent; causation; pecuniary loss;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 Stat. ch. 427; § 218.04</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Debt-collection conduct and collection-agency licensing</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and qualifying emotional-distress damages; statutory penalties; DFI licensing and discipline</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license status; letters; call logs; disputes; payment ledger</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 Stat. §§ 100.54, 100.545</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freezes and protected-consumer records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costs, and reasonable attorney fees under § 100.54(13), subject to proof</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access request; release record; notice and correction trail</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 Stat. § 134.98</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Unauthorized acquisition and consumer breach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Required notice procedures; statute does not create a private right of action</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material-risk analysis;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 Stat. § 943.201</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Unauthorized use of personal identifying information or documents</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penalties; required law-enforcement report under sub. (4); possible restitution in a qualifying case</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affidavit; creditor and bureau notices; court record</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Wisconsin DATCP — Bureau of Consumer Protection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 100.18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investigation, voluntary compliance, or civil enforcement as authorized</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Wisconsin DFI — WCA / Division of Banking</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WCA administration and licensed collection agencies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Jurisdictional review, administrative action, and licensing oversight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Wisconsin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Wisconsin (WI)</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decisions below apply Wisconsin consumer-protection and debt-collection statutes; each holding should be limited to its facts, procedural posture, and cited statutory provisions.</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Tietsworth v. Harley-Davidson, Inc.</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 WI 32, 270 Wis. 2d 146, 677 N.W.2d 233</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States the principal § 100.18 elements: a sales-related representation to the public, an untrue, deceptive, or misleading factual assertion, and resulting pecuniary loss. Nondisclosure alone and generalized puffery were insufficient.</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exact pre-transaction statement or advertisement, its audience and timing, factual falsity, causation, and pecuniary loss; distinguish silence from an affirmative representation.</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Novell v. Migliaccio</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 WI 44, 309 Wis. 2d 132, 749 N.W.2d 544</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Holds that reasonable reliance is not an independent element of a § 100.18 claim, although reasonableness may bear on whether the representation materially induced and caused the claimed pecuniary loss.</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why the representation affected the decision and how the loss followed; preserve contracts, inspections, communications, and contrary information.</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Zehetner v. Chrysler Financial Co., LLC</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 Ct. App.</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 WI App 80, 272 Wis. 2d 628, 679 N.W.2d 919</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Recognizes standing under § 427.105 for a person allegedly pressured to pay an obligation not legally owed and applies § 427.104(1)(j) to attempts to enforce a right known, or reasonably known, not to exist.</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signature pages, account records, payment history, collector knowledge, calls and letters, credit threats, disputes, and proof that the alleged obligation did not exist.</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Tietsworth v. Harley-Davidson, Inc.</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 WI 32, 270 Wis. 2d 146, 677 N.W.2d 233</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States the principal § 100.18 elements: a sales-related representation to the public, an untrue, deceptive, or misleading factual assertion, and resulting pecuniary loss. Nondisclosure alone and generalized puffery were insufficient.</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exact pre-transaction statement or advertisement, its audience and timing, factual falsity, causation, and pecuniary loss; distinguish silence from an affirmative representation.</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Novell v. Migliaccio</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 WI 44, 309 Wis. 2d 132, 749 N.W.2d 544</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Holds that reasonable reliance is not an independent element of a § 100.18 claim, although reasonableness may bear on whether the representation materially induced and caused the claimed pecuniary loss.</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why the representation affected the decision and how the loss followed; preserve contracts, inspections, communications, and contrary information.</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Zehetner v. Chrysler Financial Co., LLC</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 Ct. App.</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 WI App 80, 272 Wis. 2d 628, 679 N.W.2d 919</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Recognizes standing under § 427.105 for a person allegedly pressured to pay an obligation not legally owed and applies § 427.104(1)(j) to attempts to enforce a right known, or reasonably known, not to exist.</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signature pages, account records, payment history, collector knowledge, calls and letters, credit threats, disputes, and proof that the alleged obligation did not exist.</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Wisconsin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Wisconsin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Wisconsin mini-FCRA identified; §§ 100.54 and 100.545 address security freezes</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 avoid pleading parallel Wisconsin reporting duties without specific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Wisconsin law evaluated only for factually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framework and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 Stat. § 943.201; federal FCRA</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identity-theft reports, police records, exact disputed information, and federal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 Stat. ch. 427; § 218.04;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DFI complaint; preserve communications, dispute requests, asserted rights, collector knowledge, and license information.</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 Stat. §§ 100.54, 100.545</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authorization, notice, correction request, and resulting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 Stat. § 134.98</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data elements, dates, material-risk analysis, remediation findings, and regulator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 consumer-credit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 Stat. § 100.18; chs. 421–427</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distinct affirmative representations, transaction or collection conduct, causation, loss, and applicable timing; avoid duplicating FCRA reporting duties.</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identity-theft conduct, deceptive collection communications, security-freeze violations, breach-notification duties, and Wisconsin consumer-transaction deception under § 100.18 or the WCA that is factually distinct from CRA/furnisher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lastRenderedPageBreak/>
        <w:t>Risky zones (generally):</w:t>
      </w:r>
      <w:r w:rsidRPr="00566B6A">
        <w:rPr>
          <w:rFonts w:ascii="Courier New" w:hAnsi="Courier New" w:cs="Courier New"/>
          <w:sz w:val="22"/>
        </w:rPr>
        <w:t xml:space="preserve"> Wisconsin claims that attempt to impose accuracy, reinvestigation, or furnishing duties parallel to the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 Wisconsin complaint with DATCP, DFI, or the Department of Justice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Wisconsin DATCP / DFI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 100.18 / WCA representation or collection record + timing proof</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Factual representation or collection conduct; causation; pecuniary or actual loss; applicable limitation period</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Wisconsin § 100.18 and WCA limitation, remedy, and jurisdiction review when qualifying transaction, collection conduct, and documented loss are present</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Wisconsin (WI)</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Wisconsin Consumer Act and Fraudulent Representations Law | </w:t>
      </w:r>
      <w:r w:rsidRPr="00566B6A">
        <w:rPr>
          <w:rFonts w:ascii="Courier New" w:hAnsi="Courier New" w:cs="Courier New"/>
          <w:sz w:val="22"/>
        </w:rPr>
        <w:t>Wis. Stat. chs. 421 through 427; Wis. Stat. § 100.18 | Remedies: WCA remedies under ch. 425; proven pecuniary loss, costs, and reasonable attorney fees under § 100.18(11)(b)2; state injunctive and restorative relief. | Authority: DFI, DATCP, Department of Justice, and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Wisconsin Debt Collection Law | </w:t>
      </w:r>
      <w:r w:rsidRPr="00566B6A">
        <w:rPr>
          <w:rFonts w:ascii="Courier New" w:hAnsi="Courier New" w:cs="Courier New"/>
          <w:sz w:val="22"/>
        </w:rPr>
        <w:t>Wis. Stat. ch. 427, including §§ 427.104–427.105; collection-agency licensing under § 218.04 | Remedies: actual damages, qualifying emotional-distress damages, statutory penalties, collateral-related relief, and administrative licensing action; federal FDCPA remedies may apply separately. | Authority: DFI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Wisconsin Security Freeze Law | </w:t>
      </w:r>
      <w:r w:rsidRPr="00566B6A">
        <w:rPr>
          <w:rFonts w:ascii="Courier New" w:hAnsi="Courier New" w:cs="Courier New"/>
          <w:sz w:val="22"/>
        </w:rPr>
        <w:t xml:space="preserve">Wis. Stat. §§ 100.54 and 100.545 | Remedies: actual damages, costs, and reasonable attorney fees for qualifying noncompliance under § 100.54(13), subject to </w:t>
      </w:r>
      <w:r w:rsidRPr="00566B6A">
        <w:rPr>
          <w:rFonts w:ascii="Courier New" w:hAnsi="Courier New" w:cs="Courier New"/>
          <w:sz w:val="22"/>
        </w:rPr>
        <w:lastRenderedPageBreak/>
        <w:t>statutory terms. | Authority: courts / consumer reporting agencies under state and federal coordination.</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Wisconsin Data Breach Notification Law | </w:t>
      </w:r>
      <w:r w:rsidRPr="00566B6A">
        <w:rPr>
          <w:rFonts w:ascii="Courier New" w:hAnsi="Courier New" w:cs="Courier New"/>
          <w:sz w:val="22"/>
        </w:rPr>
        <w:t>Wis. Stat. § 134.98 | Remedies: required consumer and, when applicable, nationwide-CRA notice procedures; the statute expressly does not create a private right of action. | Authority: covered entities, DATCP complaint pathway, and other lawful enforcement channels.</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Wisconsin Identity-Theft Provision | </w:t>
      </w:r>
      <w:r w:rsidRPr="00566B6A">
        <w:rPr>
          <w:rFonts w:ascii="Courier New" w:hAnsi="Courier New" w:cs="Courier New"/>
          <w:sz w:val="22"/>
        </w:rPr>
        <w:t>Wis. Stat. § 943.201 | Remedies: criminal penalties and mandatory local law-enforcement reporting when the statutory criteria are met; restitution or other relief may be available in a qualifying criminal case.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Wisconsin Administrative Rules — </w:t>
      </w:r>
      <w:r w:rsidRPr="00566B6A">
        <w:rPr>
          <w:rFonts w:ascii="Courier New" w:hAnsi="Courier New" w:cs="Courier New"/>
          <w:sz w:val="22"/>
        </w:rPr>
        <w:t>consult current Wis. Admin. Code ch. DFI-WCA 1 and ch. DFI-Bkg 74 governing WCA administration and collection-agency requirements. Verify the exact section before filing or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Wisconsin DATCP — Bureau of Consumer Protection: </w:t>
      </w:r>
      <w:r w:rsidRPr="00566B6A">
        <w:rPr>
          <w:rFonts w:ascii="Courier New" w:hAnsi="Courier New" w:cs="Courier New"/>
          <w:sz w:val="22"/>
        </w:rPr>
        <w:t>consumer complaint intake, identity-theft assistance, and Wis. Stat. § 100.18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Wisconsin Department of Financial Institutions — Wisconsin Consumer Act: </w:t>
      </w:r>
      <w:r w:rsidRPr="00566B6A">
        <w:rPr>
          <w:rFonts w:ascii="Courier New" w:hAnsi="Courier New" w:cs="Courier New"/>
          <w:sz w:val="22"/>
        </w:rPr>
        <w:t>complaint procedures, interpretive guidance, and administration of Wis. Stat. chs. 421 through 427.</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Wisconsin DFI — Division of Banking / Licensed Financial Services: </w:t>
      </w:r>
      <w:r w:rsidRPr="00566B6A">
        <w:rPr>
          <w:rFonts w:ascii="Courier New" w:hAnsi="Courier New" w:cs="Courier New"/>
          <w:sz w:val="22"/>
        </w:rPr>
        <w:t>collection-agency licensing and complaint oversight under Wis. Stat. § 218.04; Department of Justice escalation as authorized.</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Wisconsin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Tietsworth v. Harley-Davidson, Inc.</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 WI 32, 270 Wis. 2d 146, 677 N.W.2d 233</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States the principal § 100.18 elements: a sales-related representation to the public, an untrue, deceptive, or misleading factual assertion, and resulting pecuniary loss. Nondisclosure alone and generalized puffery were insufficient.</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exact pre-transaction statement or advertisement, its audience and timing, factual falsity, causation, and pecuniary loss; distinguish silence from an affirmative representation.</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Novell v. Migliaccio</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 WI 44, 309 Wis. 2d 132, 749 N.W.2d 544</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Holds that reasonable reliance is not an independent element of a § 100.18 claim, although reasonableness may bear on whether the representation materially induced and caused the claimed pecuniary loss.</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why the representation affected the decision and how the loss followed; preserve contracts, inspections, communications, and contrary information.</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Zehetner v. Chrysler Financial Co., LLC</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Wis. Ct. App.</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2004 WI App 80, 272 Wis. 2d 628, 679 N.W.2d 919</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Recognizes standing under § 427.105 for a person allegedly pressured to pay an obligation not legally owed and applies § 427.104(1)(j) to attempts to enforce a right known, or reasonably known, not to exist.</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signature pages, account records, payment history, collector knowledge, calls and letters, credit threats, disputes, and proof that the alleged obligation did not exist.</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TK-Authority-2026-07-WI</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WI</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 xml:space="preserve">Update Discipline: Citations must be validated against official sources before inclusion. Wisconsin statutory references in this version were cross-checked against current Wisconsin agency </w:t>
      </w:r>
      <w:r w:rsidRPr="00566B6A">
        <w:rPr>
          <w:rFonts w:ascii="Courier New" w:hAnsi="Courier New" w:cs="Courier New"/>
          <w:sz w:val="22"/>
        </w:rPr>
        <w:lastRenderedPageBreak/>
        <w:t>materials and current code publications; the cited appellate decisions were checked through the Wisconsin Court System. Federal FCRA authorities should be checked against the Office of the Law Revision Counsel U.S. Code and current Regulation V materials before use.</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Wisconsin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Wisconsin administrative rule citation by agency,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sectPr w:rsidR="00756B19"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693C6" w14:textId="77777777" w:rsidR="006C217D" w:rsidRDefault="006C217D">
      <w:pPr>
        <w:spacing w:after="0" w:line="240" w:lineRule="auto"/>
      </w:pPr>
      <w:r>
        <w:separator/>
      </w:r>
    </w:p>
  </w:endnote>
  <w:endnote w:type="continuationSeparator" w:id="0">
    <w:p w14:paraId="02923DB8" w14:textId="77777777" w:rsidR="006C217D" w:rsidRDefault="006C21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7C47D" w14:textId="77777777" w:rsidR="006C217D" w:rsidRDefault="006C217D">
      <w:pPr>
        <w:spacing w:after="0" w:line="240" w:lineRule="auto"/>
      </w:pPr>
      <w:r>
        <w:separator/>
      </w:r>
    </w:p>
  </w:footnote>
  <w:footnote w:type="continuationSeparator" w:id="0">
    <w:p w14:paraId="76404D05" w14:textId="77777777" w:rsidR="006C217D" w:rsidRDefault="006C21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WISCONSIN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4F0F42"/>
    <w:rsid w:val="00566B6A"/>
    <w:rsid w:val="00655F05"/>
    <w:rsid w:val="006C217D"/>
    <w:rsid w:val="006F27AD"/>
    <w:rsid w:val="00736F61"/>
    <w:rsid w:val="00756B19"/>
    <w:rsid w:val="00964317"/>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4513</Words>
  <Characters>25729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30182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2026-07-24T22:30:00Z</dcterms:created>
  <dcterms:modified xsi:type="dcterms:W3CDTF">2026-07-24T22:30:00Z</dcterms:modified>
  <cp:category/>
</cp:coreProperties>
</file>