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Wyoming (WY)</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Wyoming Consumer Protection Act (WCPA)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Wyo. Stat. Ann. §§ 40-12-101 through 40-12-114</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specified knowing deceptive trade practices and unfair or deceptive acts or practices in consumer transactions involving merchandise acquired primarily for personal, family, or household purposes.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seek actual damages for reliance on an uncured unlawful deceptive trade practice. The Attorney General may pursue injunctive relief, restoration, and other relief authorized by the Act. Attorney’s fees are expressly addressed for qualifying class actions under Wyo. Stat. Ann. § 40-12-108(b).</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Limited and notice-dependent. Written notice must describe the alleged practice and actual damage and be sent within the earlier of one year after discovery or two years after the consumer transaction; an action generally must begin within one year after notice. See Wyo. Stat. Ann. §§ 40-12-108 to 40-12-109.</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Wyoming Attorney General — Consumer Protection and Antitrust Unit.</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Wyoming collection-agency licensing requirements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Wyoming Collection Agency Act regulates collection-agency licensing and oversight. The federal Fair Debt Collection Practices Act (FDCPA) remains the principal consumer-conduct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Wyo. Stat. Ann. §§ 33-11-101 through 33-11-116;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Wyoming Collection Agency Board; Wyoming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Wyoming analogue to the federal FCRA governing general accuracy and reinvestigation duties was identified for this module. Federal FCRA procedures remain the primary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Wyoming consumers may request placement, temporary lifting, or removal of a security freeze under Wyo. Stat. Ann. §§ 40-12-503 through 40-12-508.</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Wyoming security-freeze procedures to control certain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Wyoming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Wyoming supplements identity-restoration through its identity-theft and factual-innocence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Wyo. Stat. Ann. § 40-12-508 provides specified relief for negligent or intentional violation of a valid security freeze, subject to the statute’s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Wyo. Stat. Ann. § 6-3-901 criminalizes identity theft and authorizes restitution-related relief in qualifying cases.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Factual declaration of innocence: A person who reasonably believes they are an identity-theft victim may seek a factual declaration of innocence under Wyo. Stat. Ann. § 40-12-509, subject to statutory procedures.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Wyo. Stat. Ann. § 40-12-502 requires a covered person or business to investigate a qualifying security breach and notify affected Wyoming residents when misuse has occurred or is reasonably likely, subject to statutory exceptions and timing rules.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Wyoming’s personal-information and security-freeze provisions are codified at Wyo. Stat. Ann. §§ 40-12-501 through 40-12-511.</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consumer-data privacy act was identified for this module; sector-specific Wyoming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Wyoming Attorney General: Consumer Protection and Antitrust Unit — consumer complaint intake and WCPA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Wyoming Collection Agency Board: Licensing, complaint review, and disciplinary oversight for collection agencies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Wyoming Division of Banking: Complaint pathway for Wyoming-chartered financial institutions and certain businesses extending consumer credit,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Wyoming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40-12-101–114</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WCPA — deceptive or unfair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for qualifying private claims; AG injunctive/restorative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representation; reliance; damages; written cure notice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33-11-101–116</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and oversight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Board licensing, investigation, and discipline;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status; letters; call logs;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40-12-503–508</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of frozen reports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relief under § 40-12-508, subject to proof and statutory terms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40-12-502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consumer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and statutory compliance measures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6-3-901; § 40-12-509</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factual declaration of innocence</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remedies/restitution; identity-restoration procedure</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court order</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Wyoming AG — Consumer Protection and Antitrust Unit</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WCPA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Wyoming Collection Agency Board / Division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Wyoming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Wyoming (WY)</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Wyoming Supreme Court case applying the federal FDCPA; it should not be described as creating a private claim under the Wyoming Collection Agency Act.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Broderick v. Dairyland Insurance Co.</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 WY 22, 270 P.3d 684</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the limited WCPA private remedy: reliance on an uncured deceptive trade practice, actual consumer damages, and statutory written notice. The claim failed where notice was not provided.</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reliance, and actual loss; send a detailed WCPA cure notice within the statutory period and retain proof of delivery.</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Trinity St. John a/k/a Trinity Pope v. Joshua G. Wagner, DDS, P.C.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 WY 69</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dismissal of a WCPA claim alleging deceptive dental billing and consumer-financing conduct; the claim was not automatically governed by the professional-malpractice limitations period.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billing or financing deception from quality-of-care allegations; preserve applications, credit terms, disclosures, receipts, and billing communications.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Johnson v. Statewide Collections, Inc., d/b/a CheckRite</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1989</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1989 WY 157, 778 P.2d 93</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federal FDCPA to a Wyoming collector and sustained violations for failure to verify a disputed debt, asserting an unauthorized amount, and contacting a represented consumer.</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demand letters, written disputes, verification responses, itemized balances, payment calculations, and notice that counsel represents the consumer.</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Broderick v. Dairyland Insurance Co.</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 WY 22, 270 P.3d 684</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the limited WCPA private remedy: reliance on an uncured deceptive trade practice, actual consumer damages, and statutory written notice. The claim failed where notice was not provided.</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reliance, and actual loss; send a detailed WCPA cure notice within the statutory period and retain proof of delivery.</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Trinity St. John a/k/a Trinity Pope v. Joshua G. Wagner, DDS, P.C.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 WY 69</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dismissal of a WCPA claim alleging deceptive dental billing and consumer-financing conduct; the claim was not automatically governed by the professional-malpractice limitations period.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billing or financing deception from quality-of-care allegations; preserve applications, credit terms, disclosures, receipts, and billing communications.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Johnson v. Statewide Collections, Inc., d/b/a CheckRite</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1989</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1989 WY 157, 778 P.2d 93</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federal FDCPA to a Wyoming collector and sustained violations for failure to verify a disputed debt, asserting an unauthorized amount, and contacting a represented consumer.</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demand letters, written disputes, verification responses, itemized balances, payment calculations, and notice that counsel represents the consumer.</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lastRenderedPageBreak/>
        <w:t>Educational summary: Federal law generally governs CRA and furnisher duties concerning accuracy, reinvestigation, dispute processing, and reporting. Wyoming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Wyoming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Wyoming mini-FCRA identified; Article 5 addresses freeze/breach</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Wyoming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Wyoming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6-3-901; § 40-12-509</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factual-innocence proceedings,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33-11-101–116;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Agency Board complaint; preserve communications, dispute requests, and license information.</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40-12-503–508</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Stat. Ann. § 40-12-502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WCPA, §§ 40-12-101–114</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consumer transaction, reliance, actual damage, written notice, and uncured practice.</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WCPA consumer-transaction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Wyoming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Wyoming complaint with the Attorney General, Collection Agency Board, or Division of Banking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Wyoming AG / Board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WCPA cure notice + delivery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Reliance, actual damage, notice, opportunity to cure,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Wyoming WCPA written cure notice when a qualifying consumer transaction and actual damages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Wyoming (WY)</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Consumer Protection Act (WCPA) | </w:t>
      </w:r>
      <w:r w:rsidRPr="00566B6A">
        <w:rPr>
          <w:rFonts w:ascii="Courier New" w:hAnsi="Courier New" w:cs="Courier New"/>
          <w:sz w:val="22"/>
        </w:rPr>
        <w:t>Wyo. Stat. Ann. §§ 40-12-101 through 40-12-114 | Remedies: actual damages for qualifying notice-compliant private claims; class-action fees as specified; Attorney General injunctive and restorative relief. | Authority: Wyoming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Collection Agency Act | </w:t>
      </w:r>
      <w:r w:rsidRPr="00566B6A">
        <w:rPr>
          <w:rFonts w:ascii="Courier New" w:hAnsi="Courier New" w:cs="Courier New"/>
          <w:sz w:val="22"/>
        </w:rPr>
        <w:t>Wyo. Stat. Ann. §§ 33-11-101 through 33-11-116 | Remedies: licensing, investigation, and discipline through the Collection Agency Board; federal FDCPA remedies may apply separately. | Authority: Wyoming Collection Agency Board / courts applying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Wyoming Security Freeze Law | </w:t>
      </w:r>
      <w:r w:rsidRPr="00566B6A">
        <w:rPr>
          <w:rFonts w:ascii="Courier New" w:hAnsi="Courier New" w:cs="Courier New"/>
          <w:sz w:val="22"/>
        </w:rPr>
        <w:t>Wyo. Stat. Ann. §§ 40-12-503 through 40-12-508 | Remedies: statutory relief for a qualifying negligent or intentional release in violation of a valid freeze. | Authority: courts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Computer Security Breach Law | </w:t>
      </w:r>
      <w:r w:rsidRPr="00566B6A">
        <w:rPr>
          <w:rFonts w:ascii="Courier New" w:hAnsi="Courier New" w:cs="Courier New"/>
          <w:sz w:val="22"/>
        </w:rPr>
        <w:t>Wyo. Stat. Ann. § 40-12-502, within §§ 40-12-501 through 40-12-511 | Remedies: Attorney General enforcement and required notice/remediation procedures. | Authority: Wyoming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Identity-Theft and Factual-Innocence Provisions | </w:t>
      </w:r>
      <w:r w:rsidRPr="00566B6A">
        <w:rPr>
          <w:rFonts w:ascii="Courier New" w:hAnsi="Courier New" w:cs="Courier New"/>
          <w:sz w:val="22"/>
        </w:rPr>
        <w:t>Wyo. Stat. Ann. § 6-3-901 and § 40-12-509 | Remedies: criminal restitution and identity-restoration procedures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Collection Agency Board Rules — </w:t>
      </w:r>
      <w:r w:rsidRPr="00566B6A">
        <w:rPr>
          <w:rFonts w:ascii="Courier New" w:hAnsi="Courier New" w:cs="Courier New"/>
          <w:sz w:val="22"/>
        </w:rPr>
        <w:t>consult current Wyoming administrative rules governing licensing, conduct, records, complaints, and discipline. Verify the exact chapter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Attorney General — Consumer Protection and Antitrust Unit: </w:t>
      </w:r>
      <w:r w:rsidRPr="00566B6A">
        <w:rPr>
          <w:rFonts w:ascii="Courier New" w:hAnsi="Courier New" w:cs="Courier New"/>
          <w:sz w:val="22"/>
        </w:rPr>
        <w:t>consumer complaint intake and WCPA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Collection Agency Board: </w:t>
      </w:r>
      <w:r w:rsidRPr="00566B6A">
        <w:rPr>
          <w:rFonts w:ascii="Courier New" w:hAnsi="Courier New" w:cs="Courier New"/>
          <w:sz w:val="22"/>
        </w:rPr>
        <w:t>complaint procedures and licensed-collector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Wyoming Division of Banking: </w:t>
      </w:r>
      <w:r w:rsidRPr="00566B6A">
        <w:rPr>
          <w:rFonts w:ascii="Courier New" w:hAnsi="Courier New" w:cs="Courier New"/>
          <w:sz w:val="22"/>
        </w:rPr>
        <w:t>consumer complaint pathway for institutions or credit businesses within the Division’s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Wyoming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Broderick v. Dairyland Insurance Co.</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2012 WY 22, 270 P.3d 684</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the limited WCPA private remedy: reliance on an uncured deceptive trade practice, actual consumer damages, and statutory written notice. The claim failed where notice was not provided.</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reliance, and actual loss; send a detailed WCPA cure notice within the statutory period and retain proof of delivery.</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Trinity St. John a/k/a Trinity Pope v. Joshua G. Wagner, DDS, P.C.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 WY 69</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dismissal of a WCPA claim alleging deceptive dental billing and consumer-financing conduct; the claim was not automatically governed by the professional-malpractice limitations period.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billing or financing deception from quality-of-care allegations; preserve applications, credit terms, disclosures, receipts, and billing communications.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Johnson v. Statewide Collections, Inc., d/b/a CheckRite</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Wyo.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1989</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1989 WY 157, 778 P.2d 93</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federal FDCPA to a Wyoming collector and sustained violations for failure to verify a disputed debt, asserting an unauthorized amount, and contacting a represented consumer.</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demand letters, written disputes, verification responses, itemized balances, payment calculations, and notice that counsel represents the consumer.</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TK-Authority-2026-07-WY</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WY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Wyoming statutory references in this version were checked against the Wyoming Legislature’s current publications. Federal FCRA authorities were checked against the Office of the Law Revision Counsel U.S. Code and current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lastRenderedPageBreak/>
        <w:t>This section was generated using a continuously updated authority library designed to identify relevant federal and Wyoming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Wyoming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7288" w14:textId="77777777" w:rsidR="00655F05" w:rsidRDefault="00655F05">
      <w:pPr>
        <w:spacing w:after="0" w:line="240" w:lineRule="auto"/>
      </w:pPr>
      <w:r>
        <w:separator/>
      </w:r>
    </w:p>
  </w:endnote>
  <w:endnote w:type="continuationSeparator" w:id="0">
    <w:p w14:paraId="417707E1" w14:textId="77777777" w:rsidR="00655F05" w:rsidRDefault="0065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BA37" w14:textId="77777777" w:rsidR="00655F05" w:rsidRDefault="00655F05">
      <w:pPr>
        <w:spacing w:after="0" w:line="240" w:lineRule="auto"/>
      </w:pPr>
      <w:r>
        <w:separator/>
      </w:r>
    </w:p>
  </w:footnote>
  <w:footnote w:type="continuationSeparator" w:id="0">
    <w:p w14:paraId="05ABC9DD" w14:textId="77777777" w:rsidR="00655F05" w:rsidRDefault="0065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WYOMING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3</cp:revision>
  <dcterms:created xsi:type="dcterms:W3CDTF">2026-07-23T18:50:00Z</dcterms:created>
  <dcterms:modified xsi:type="dcterms:W3CDTF">2026-07-23T19:16:00Z</dcterms:modified>
  <cp:category/>
</cp:coreProperties>
</file>