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Модуль субтитров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Разработанный 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одуль субтитров представляет собой центральный компонент системы, обеспечивающий полный цикл работы с текстовыми дорожками в видеоматериалах. В его основе лежит многоуровневый конвейер, включающий: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Загрузку и парсинг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Поддерживаются три наиболее распространенных формата — SRT, ASS и VTT. Парсер автоматически определяет структуру файла, корректно обрабатывает нестандартные варианты разметки и учитывает возможные ошибки в кодировке.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Предварительную обработку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На этой стадии выполняется удаление или нормализация управляющих тегов, очистка лишних пробелов и специфических символов. Благодаря предварительной фильтрации повышается надёжность последующих шагов.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Стилизацию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Пользователь может тонко настраивать визуальное оформление текста: задавать цветовую палитру (включая градиенты и полупрозрачные оттенки), выбирать шрифты, устанавливать размер, межстрочный интервал, выравнивание (левое, правое, центрированное, по ширине), обводку, тень и другие декоративные эффекты, которые описываются в JSON-конфиге.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Встраивание (прожиг)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Модуль интегрируется с ffmpeg и библиотекой libass, что позволяет «жестко» закрепить титры в видеопотоке. В результате получаются видео с постоянными субтитрами, которые гарантированно будут корректно отображаться на любых устройствах и в любых плеерах.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Ключевые возможности</w:t>
        <w:br w:type="textWrapping"/>
        <w:t xml:space="preserve">2.1. Конвертация форматов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Модуль обеспечивает двунаправленное преобразование между SRT, ASS и VTT без потери семантики текста и временных меток. При конвертации может производиться автоматическая адаптация стилей: например, из простого SRT-цвета генерируются ASS-теги с заданным шрифтом, обводкой и позицией.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2.2. Прожиг субтитров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связки ffmpeg + libass даёт возможность вшивать субтитры непосредственно в поток видео с битрейт-контролем и поддержкой аппаратного ускорения кодирования (NVENC, QuickSync, VA-API). Модуль умеет обрабатывать видео любых разрешений и контейнеров, гарантируя синхронность звука и титров.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Гибкая настройка стиля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параметры оформления субтитров задаются через настраиваемый JSON-файл, где можно определить несколько стилей, назначить их по диапазону временных меток или по типу текста (диалоги, вставки, примечания). Поддерживается наследование стилей и их динамическая смена во время проигрывания.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2.4. Параллельная обработка текста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даление тегов, разбиение строк по длине, анализ и исправление кодировки, подсчёт статистических метрик и т.д. реализованы в виде OpenCL-ядер, что позволяет задействовать вычислительные блоки GPU. Это даёт выигрыш по сравнению с однопоточным CPU-вариантом и обеспечивает линейное масштабирование при добавлении новых устройств.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Структура проекта</w:t>
        <w:br w:type="textWrapping"/>
        <w:t xml:space="preserve"> 3.1. Последовательная часть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Сборка и запуск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Перейдите в корень репозитория.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Запустите скрипт:</w:t>
      </w:r>
    </w:p>
    <w:p w:rsidR="00000000" w:rsidDel="00000000" w:rsidP="00000000" w:rsidRDefault="00000000" w:rsidRPr="00000000" w14:paraId="0000000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Linux/macOS: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./run.sh</w:t>
      </w:r>
    </w:p>
    <w:p w:rsidR="00000000" w:rsidDel="00000000" w:rsidP="00000000" w:rsidRDefault="00000000" w:rsidRPr="00000000" w14:paraId="0000000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run.bat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успешной сборки исполняемые файлы появятся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Основной функционал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Демо-приложение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VTL_sub_style_demo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демонстрирует весь цикл: от чтения файла до получения видео с прожженными субтитрами (файлы сохраняются 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VTL/test/data/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Рефакторинг и доработки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Устранены проблемы с распознаванием временных меток в нестандартном формате.</w:t>
      </w:r>
    </w:p>
    <w:p w:rsidR="00000000" w:rsidDel="00000000" w:rsidP="00000000" w:rsidRDefault="00000000" w:rsidRPr="00000000" w14:paraId="0000001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Реализованы и унифицированы функции модуля парсинга.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Внесены правки для корректной сборки проекта на macOS.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Модуль OpenCL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Обзор технологии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OpenCL — кроссплатформенный стандарт, позволяющий запускать параллельные вычисления на GPU и CPU. В проекте он применяется для ускоренного выполнения ряда однотипных операций над большими массивами текстовых данных.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3.2.1. Архитектура OpenCL в проекте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Все OpenCL-функции вынесены в отдельную папку VTL/media_container/sub/opencl/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каждой задачи реализовано: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OpenCL-ядро (kernel) — мини-программа на С-подобном языке, которая выполняется параллельно на всех доступных вычислительных устройствах (обычно на GPU).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C-обёртка — функция на C, которая подготавливает данные, запускает ядро и собирает результат.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Примеры реализаций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VTL_sub_OpenclStripTags — удаление тегов и HTML-спецсимволов.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VTL_sub_OpenclSplitLongLines — перенос по словам для контроля длины строки.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VTL_sub_OpenclDetectEncoding — распознавание и конвертация кодировки.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VTL_sub_OpenclFormatNumbers — форматирование числовых значений с разделителями.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VTL_sub_OpenclApplyAssStyle — массовое применение/удаление ASS-тегов стиля.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3.2.2. Алгоритм работы OpenCL методов: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Платформа OpenCL представляет собой совокупность устройств от одного вендора. Основные компоненты:</w:t>
      </w:r>
    </w:p>
    <w:p w:rsidR="00000000" w:rsidDel="00000000" w:rsidP="00000000" w:rsidRDefault="00000000" w:rsidRPr="00000000" w14:paraId="0000002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Platform: поставщик вычислительных ресурсов (например, NVIDIA, AMD, Intel)</w:t>
        <w:br w:type="textWrapping"/>
        <w:t xml:space="preserve">- Device: конкретный вычислительный блок (GPU, CPU, FPGA)</w:t>
        <w:br w:type="textWrapping"/>
        <w:t xml:space="preserve">- Context: объединяет одно или несколько устройств для совместного использования ресурсов</w:t>
        <w:br w:type="textWrapping"/>
        <w:t xml:space="preserve">- Command Queue: очередь команд, отправляемых от хоста на устройство</w:t>
      </w:r>
    </w:p>
    <w:p w:rsidR="00000000" w:rsidDel="00000000" w:rsidP="00000000" w:rsidRDefault="00000000" w:rsidRPr="00000000" w14:paraId="00000027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Platform Layer API (вызывается с хоста)</w:t>
      </w:r>
    </w:p>
    <w:p w:rsidR="00000000" w:rsidDel="00000000" w:rsidP="00000000" w:rsidRDefault="00000000" w:rsidRPr="00000000" w14:paraId="00000028">
      <w:pPr>
        <w:keepNext w:val="0"/>
        <w:keepLines w:val="0"/>
        <w:spacing w:after="240" w:before="24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уровня платформы обеспечивает абстракцию над разнородными вычислительными ресурсами и отвечает за начальную настройку окружения:</w:t>
      </w:r>
    </w:p>
    <w:p w:rsidR="00000000" w:rsidDel="00000000" w:rsidP="00000000" w:rsidRDefault="00000000" w:rsidRPr="00000000" w14:paraId="00000029">
      <w:pPr>
        <w:keepNext w:val="0"/>
        <w:keepLines w:val="0"/>
        <w:numPr>
          <w:ilvl w:val="0"/>
          <w:numId w:val="7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Абстракция вычислительных ресурсов</w:t>
        <w:br w:type="textWrapping"/>
        <w:t xml:space="preserve"> Открывает информацию о доступных платформах и устройствах (CPU, GPU, FPGA и т. д.), скрывая детали реализации разных вендоров.</w:t>
        <w:br w:type="textWrapping"/>
      </w:r>
    </w:p>
    <w:p w:rsidR="00000000" w:rsidDel="00000000" w:rsidP="00000000" w:rsidRDefault="00000000" w:rsidRPr="00000000" w14:paraId="0000002A">
      <w:pPr>
        <w:keepNext w:val="0"/>
        <w:keepLines w:val="0"/>
        <w:numPr>
          <w:ilvl w:val="0"/>
          <w:numId w:val="7"/>
        </w:numPr>
        <w:spacing w:after="0" w:afterAutospacing="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Поиск и инициализация устройств</w:t>
        <w:br w:type="textWrapping"/>
        <w:t xml:space="preserve"> Позволяет выполнить запрос доступных платформ, выбрать платформу нужного вендора, затем перечислить и получить дескрипторы отдельных устройств.</w:t>
        <w:br w:type="textWrapping"/>
      </w:r>
    </w:p>
    <w:p w:rsidR="00000000" w:rsidDel="00000000" w:rsidP="00000000" w:rsidRDefault="00000000" w:rsidRPr="00000000" w14:paraId="0000002B">
      <w:pPr>
        <w:keepNext w:val="0"/>
        <w:keepLines w:val="0"/>
        <w:numPr>
          <w:ilvl w:val="0"/>
          <w:numId w:val="7"/>
        </w:numPr>
        <w:spacing w:after="24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контекстов и очередей команд</w:t>
        <w:br w:type="textWrapping"/>
        <w:t xml:space="preserve"> Контекст объединяет одно или несколько устройств, а очередь команд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cl_command_queue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служит местом постановки задач (копирование данных, запуск кернелов) от хоста к устройству.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Runtime API (вызывается с хоста)</w:t>
      </w:r>
    </w:p>
    <w:p w:rsidR="00000000" w:rsidDel="00000000" w:rsidP="00000000" w:rsidRDefault="00000000" w:rsidRPr="00000000" w14:paraId="0000002D">
      <w:pPr>
        <w:keepNext w:val="0"/>
        <w:keepLines w:val="0"/>
        <w:spacing w:after="240" w:before="24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Рантайм-API отвечает за управление жизненным циклом и выполнением кернелов:</w:t>
      </w:r>
    </w:p>
    <w:p w:rsidR="00000000" w:rsidDel="00000000" w:rsidP="00000000" w:rsidRDefault="00000000" w:rsidRPr="00000000" w14:paraId="0000002E">
      <w:pPr>
        <w:keepNext w:val="0"/>
        <w:keepLines w:val="0"/>
        <w:numPr>
          <w:ilvl w:val="0"/>
          <w:numId w:val="1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Запуск compute-kerne­лов</w:t>
        <w:br w:type="textWrapping"/>
        <w:t xml:space="preserve"> Постановка в очередь команд для выполнения конкретных кернелов на выбранных устройствах.</w:t>
        <w:br w:type="textWrapping"/>
      </w:r>
    </w:p>
    <w:p w:rsidR="00000000" w:rsidDel="00000000" w:rsidP="00000000" w:rsidRDefault="00000000" w:rsidRPr="00000000" w14:paraId="0000002F">
      <w:pPr>
        <w:keepNext w:val="0"/>
        <w:keepLines w:val="0"/>
        <w:numPr>
          <w:ilvl w:val="0"/>
          <w:numId w:val="1"/>
        </w:numPr>
        <w:spacing w:after="0" w:afterAutospacing="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параметров исполнения</w:t>
        <w:br w:type="textWrapping"/>
        <w:t xml:space="preserve"> Определение объёма работы (global и local work‐sizes), настройка аргументов кернела.</w:t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numPr>
          <w:ilvl w:val="0"/>
          <w:numId w:val="1"/>
        </w:numPr>
        <w:spacing w:after="24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 ресурсами</w:t>
        <w:br w:type="textWrapping"/>
        <w:t xml:space="preserve"> Планирование и оркестрация операций копирования, вычислений и работы с памятью, а также синхронизация через события и барьеры.</w:t>
      </w:r>
    </w:p>
    <w:p w:rsidR="00000000" w:rsidDel="00000000" w:rsidP="00000000" w:rsidRDefault="00000000" w:rsidRPr="00000000" w14:paraId="00000031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spacing w:after="240" w:before="24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Пространство индексов NDRange, Work-Item’ы и Work-Group’ы</w:t>
      </w:r>
    </w:p>
    <w:p w:rsidR="00000000" w:rsidDel="00000000" w:rsidP="00000000" w:rsidRDefault="00000000" w:rsidRPr="00000000" w14:paraId="00000034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Индексное пространство NDRange</w:t>
      </w:r>
    </w:p>
    <w:p w:rsidR="00000000" w:rsidDel="00000000" w:rsidP="00000000" w:rsidRDefault="00000000" w:rsidRPr="00000000" w14:paraId="00000035">
      <w:pPr>
        <w:keepNext w:val="0"/>
        <w:keepLines w:val="0"/>
        <w:numPr>
          <w:ilvl w:val="0"/>
          <w:numId w:val="5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NDRange (N-Dimensional Range) — это N-мерный диапазон индексов, задающий, сколько копий одного и того же кернела будет запущено одновременно.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numPr>
          <w:ilvl w:val="0"/>
          <w:numId w:val="5"/>
        </w:numPr>
        <w:spacing w:after="0" w:afterAutospacing="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NDRange может быть одномерным, двумерным или трёхмерным, в зависимости от задачи:</w:t>
        <w:br w:type="textWrapping"/>
      </w:r>
    </w:p>
    <w:p w:rsidR="00000000" w:rsidDel="00000000" w:rsidP="00000000" w:rsidRDefault="00000000" w:rsidRPr="00000000" w14:paraId="00000037">
      <w:pPr>
        <w:keepNext w:val="0"/>
        <w:keepLines w:val="0"/>
        <w:numPr>
          <w:ilvl w:val="1"/>
          <w:numId w:val="5"/>
        </w:numPr>
        <w:spacing w:after="0" w:afterAutospacing="0" w:before="0" w:beforeAutospacing="0" w:line="211.05847058823528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1D: обработка одномерных массивов</w:t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numPr>
          <w:ilvl w:val="1"/>
          <w:numId w:val="5"/>
        </w:numPr>
        <w:spacing w:after="0" w:afterAutospacing="0" w:before="0" w:beforeAutospacing="0" w:line="211.05847058823528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2D: обработка изображений, матриц</w:t>
        <w:br w:type="textWrapping"/>
      </w:r>
    </w:p>
    <w:p w:rsidR="00000000" w:rsidDel="00000000" w:rsidP="00000000" w:rsidRDefault="00000000" w:rsidRPr="00000000" w14:paraId="00000039">
      <w:pPr>
        <w:keepNext w:val="0"/>
        <w:keepLines w:val="0"/>
        <w:numPr>
          <w:ilvl w:val="1"/>
          <w:numId w:val="5"/>
        </w:numPr>
        <w:spacing w:after="240" w:before="0" w:beforeAutospacing="0" w:line="211.05847058823528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3D: объёмные данные, воксельные решения</w:t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spacing w:after="240" w:before="24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вызове кернела хост-программа указывает:</w:t>
      </w:r>
    </w:p>
    <w:p w:rsidR="00000000" w:rsidDel="00000000" w:rsidP="00000000" w:rsidRDefault="00000000" w:rsidRPr="00000000" w14:paraId="0000003B">
      <w:pPr>
        <w:keepNext w:val="0"/>
        <w:keepLines w:val="0"/>
        <w:numPr>
          <w:ilvl w:val="0"/>
          <w:numId w:val="10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 Work Size — общее число work-item’ов по каждой из осей</w:t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numPr>
          <w:ilvl w:val="0"/>
          <w:numId w:val="10"/>
        </w:numPr>
        <w:spacing w:after="24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Work Size — размер work-group’ов по каждой из осей (опционально)</w:t>
        <w:br w:type="textWrapping"/>
      </w:r>
    </w:p>
    <w:p w:rsidR="00000000" w:rsidDel="00000000" w:rsidP="00000000" w:rsidRDefault="00000000" w:rsidRPr="00000000" w14:paraId="0000003D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Work-Item</w:t>
      </w:r>
    </w:p>
    <w:p w:rsidR="00000000" w:rsidDel="00000000" w:rsidP="00000000" w:rsidRDefault="00000000" w:rsidRPr="00000000" w14:paraId="0000003E">
      <w:pPr>
        <w:keepNext w:val="0"/>
        <w:keepLines w:val="0"/>
        <w:numPr>
          <w:ilvl w:val="0"/>
          <w:numId w:val="12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Work-Item — это единичный экземпляр выполнения кернела, «поток» в параллельном конвейере.</w:t>
        <w:br w:type="textWrapping"/>
      </w:r>
    </w:p>
    <w:p w:rsidR="00000000" w:rsidDel="00000000" w:rsidP="00000000" w:rsidRDefault="00000000" w:rsidRPr="00000000" w14:paraId="0000003F">
      <w:pPr>
        <w:keepNext w:val="0"/>
        <w:keepLines w:val="0"/>
        <w:numPr>
          <w:ilvl w:val="0"/>
          <w:numId w:val="12"/>
        </w:numPr>
        <w:spacing w:after="24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Каждый work-item исполняет тот же вычислительный код, но оперирует своими данными, определяемыми уникальным global ID.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Получить глобальный индекс в кернеле можно функцией</w:t>
        <w:br w:type="textWrapping"/>
        <w:br w:type="textWrapping"/>
        <w:t xml:space="preserve"> size_t gid = get_global_id(dim);  </w:t>
      </w:r>
    </w:p>
    <w:p w:rsidR="00000000" w:rsidDel="00000000" w:rsidP="00000000" w:rsidRDefault="00000000" w:rsidRPr="00000000" w14:paraId="00000041">
      <w:pPr>
        <w:keepNext w:val="0"/>
        <w:keepLines w:val="0"/>
        <w:numPr>
          <w:ilvl w:val="0"/>
          <w:numId w:val="12"/>
        </w:numPr>
        <w:spacing w:after="24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где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0, 1 или 2 для соответствующей оси NDRange.</w:t>
        <w:br w:type="textWrapping"/>
      </w:r>
    </w:p>
    <w:p w:rsidR="00000000" w:rsidDel="00000000" w:rsidP="00000000" w:rsidRDefault="00000000" w:rsidRPr="00000000" w14:paraId="00000042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Work-Group</w:t>
      </w:r>
    </w:p>
    <w:p w:rsidR="00000000" w:rsidDel="00000000" w:rsidP="00000000" w:rsidRDefault="00000000" w:rsidRPr="00000000" w14:paraId="00000043">
      <w:pPr>
        <w:keepNext w:val="0"/>
        <w:keepLines w:val="0"/>
        <w:numPr>
          <w:ilvl w:val="0"/>
          <w:numId w:val="4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Work-Group — логическая группа соседних work-item’ов, объединённых для совместного использования локальной памяти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__local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и точек синхронизации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barrier()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4">
      <w:pPr>
        <w:keepNext w:val="0"/>
        <w:keepLines w:val="0"/>
        <w:numPr>
          <w:ilvl w:val="0"/>
          <w:numId w:val="4"/>
        </w:numPr>
        <w:spacing w:after="24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запуске кернела NDRange разбивается на несколько work-group’ов одинакового размера (кроме «хвоста», если Global Size не кратен Local Size).</w:t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 каждой work-group есть свой Work Group ID, а внутри группы у каждого work-item есть Local ID:</w:t>
        <w:br w:type="textWrapping"/>
        <w:br w:type="textWrapping"/>
        <w:t xml:space="preserve"> size_t lid = get_local_id(dim);       // индекс внутри группы</w:t>
      </w:r>
    </w:p>
    <w:p w:rsidR="00000000" w:rsidDel="00000000" w:rsidP="00000000" w:rsidRDefault="00000000" w:rsidRPr="00000000" w14:paraId="00000046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size_t group = get_group_id(dim);     // номер группы</w:t>
      </w:r>
    </w:p>
    <w:p w:rsidR="00000000" w:rsidDel="00000000" w:rsidP="00000000" w:rsidRDefault="00000000" w:rsidRPr="00000000" w14:paraId="00000047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size_t lsize = get_local_size(dim);   // размер группы</w:t>
      </w:r>
    </w:p>
    <w:p w:rsidR="00000000" w:rsidDel="00000000" w:rsidP="00000000" w:rsidRDefault="00000000" w:rsidRPr="00000000" w14:paraId="00000048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Work-group’ы гарантированно могут синхронизировать свои work-item’ы через барьеры:</w:t>
        <w:br w:type="textWrapping"/>
        <w:br w:type="textWrapping"/>
        <w:t xml:space="preserve"> barrier(CLK_LOCAL_MEM_FENCE);</w:t>
      </w:r>
    </w:p>
    <w:p w:rsidR="00000000" w:rsidDel="00000000" w:rsidP="00000000" w:rsidRDefault="00000000" w:rsidRPr="00000000" w14:paraId="00000049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0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Пример ядра из проекта – VTL_sub_opencl_strip_tags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color w:val="d4d4d4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a9b7c6"/>
          <w:sz w:val="19"/>
          <w:szCs w:val="19"/>
          <w:rtl w:val="0"/>
        </w:rPr>
        <w:t xml:space="preserve"> kernelSource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4d4d4"/>
          <w:sz w:val="19"/>
          <w:szCs w:val="19"/>
          <w:rtl w:val="0"/>
        </w:rPr>
        <w:t xml:space="preserve">=</w:t>
      </w:r>
    </w:p>
    <w:p w:rsidR="00000000" w:rsidDel="00000000" w:rsidP="00000000" w:rsidRDefault="00000000" w:rsidRPr="00000000" w14:paraId="0000004D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color w:val="6a8759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"__kernel void strip_tags(__global const char* in_data, __global int* offsets, __global int* lengths, __global char* out_data, __global int* out_offsets) 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4E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idx = get_global_id(0);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Индекс текущей строки</w:t>
      </w:r>
    </w:p>
    <w:p w:rsidR="00000000" w:rsidDel="00000000" w:rsidP="00000000" w:rsidRDefault="00000000" w:rsidRPr="00000000" w14:paraId="0000004F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in_offset = offsets[idx];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Смещение начала строки во входном буфере</w:t>
      </w:r>
    </w:p>
    <w:p w:rsidR="00000000" w:rsidDel="00000000" w:rsidP="00000000" w:rsidRDefault="00000000" w:rsidRPr="00000000" w14:paraId="00000050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in_len = lengths[idx];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  // Длина строки</w:t>
      </w:r>
    </w:p>
    <w:p w:rsidR="00000000" w:rsidDel="00000000" w:rsidP="00000000" w:rsidRDefault="00000000" w:rsidRPr="00000000" w14:paraId="00000051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out_offset = out_offsets[idx];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Смещение для записи результата</w:t>
      </w:r>
    </w:p>
    <w:p w:rsidR="00000000" w:rsidDel="00000000" w:rsidP="00000000" w:rsidRDefault="00000000" w:rsidRPr="00000000" w14:paraId="00000052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in_tag = 0;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Флаг: находимся ли внутри тега</w:t>
      </w:r>
    </w:p>
    <w:p w:rsidR="00000000" w:rsidDel="00000000" w:rsidP="00000000" w:rsidRDefault="00000000" w:rsidRPr="00000000" w14:paraId="00000053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int j = 0;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Индекс для записи в выходной буфер</w:t>
      </w:r>
    </w:p>
    <w:p w:rsidR="00000000" w:rsidDel="00000000" w:rsidP="00000000" w:rsidRDefault="00000000" w:rsidRPr="00000000" w14:paraId="00000054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color w:val="6a8759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for (int k = 0; k &lt; in_len; ++k) {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55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    char c = in_data[in_offset + k];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Читаем символ</w:t>
      </w:r>
    </w:p>
    <w:p w:rsidR="00000000" w:rsidDel="00000000" w:rsidP="00000000" w:rsidRDefault="00000000" w:rsidRPr="00000000" w14:paraId="00000056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    if (c == '{') in_tag = 1;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Начало тега</w:t>
      </w:r>
    </w:p>
    <w:p w:rsidR="00000000" w:rsidDel="00000000" w:rsidP="00000000" w:rsidRDefault="00000000" w:rsidRPr="00000000" w14:paraId="00000057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    else if (c == '}' &amp;&amp; in_tag) in_tag = 0;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Конец тега</w:t>
      </w:r>
    </w:p>
    <w:p w:rsidR="00000000" w:rsidDel="00000000" w:rsidP="00000000" w:rsidRDefault="00000000" w:rsidRPr="00000000" w14:paraId="00000058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    else if (!in_tag) out_data[out_offset + j++] = c;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Если не в теге — копируем символ</w:t>
      </w:r>
    </w:p>
    <w:p w:rsidR="00000000" w:rsidDel="00000000" w:rsidP="00000000" w:rsidRDefault="00000000" w:rsidRPr="00000000" w14:paraId="00000059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color w:val="6a8759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5A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    out_data[out_offset + j] = 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\\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0';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808080"/>
          <w:sz w:val="19"/>
          <w:szCs w:val="19"/>
          <w:rtl w:val="0"/>
        </w:rPr>
        <w:t xml:space="preserve"> // Завершаем строку нулём</w:t>
      </w:r>
    </w:p>
    <w:p w:rsidR="00000000" w:rsidDel="00000000" w:rsidP="00000000" w:rsidRDefault="00000000" w:rsidRPr="00000000" w14:paraId="0000005B">
      <w:pPr>
        <w:shd w:fill="2b2b2b" w:val="clear"/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"}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8759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spacing w:before="28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Запуска ядра</w:t>
      </w:r>
    </w:p>
    <w:p w:rsidR="00000000" w:rsidDel="00000000" w:rsidP="00000000" w:rsidRDefault="00000000" w:rsidRPr="00000000" w14:paraId="00000060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clEnqueueNDRangeKernel</w:t>
        <w:br w:type="textWrapping"/>
        <w:br w:type="textWrapping"/>
        <w:t xml:space="preserve"> clEnqueueNDRangeKernel(</w:t>
      </w:r>
    </w:p>
    <w:p w:rsidR="00000000" w:rsidDel="00000000" w:rsidP="00000000" w:rsidRDefault="00000000" w:rsidRPr="00000000" w14:paraId="00000061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queue, kernel,</w:t>
      </w:r>
    </w:p>
    <w:p w:rsidR="00000000" w:rsidDel="00000000" w:rsidP="00000000" w:rsidRDefault="00000000" w:rsidRPr="00000000" w14:paraId="00000062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work_dim,         // число осей (1,2 или 3)</w:t>
      </w:r>
    </w:p>
    <w:p w:rsidR="00000000" w:rsidDel="00000000" w:rsidP="00000000" w:rsidRDefault="00000000" w:rsidRPr="00000000" w14:paraId="00000063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NULL,             // смещение (обычно 0)</w:t>
      </w:r>
    </w:p>
    <w:p w:rsidR="00000000" w:rsidDel="00000000" w:rsidP="00000000" w:rsidRDefault="00000000" w:rsidRPr="00000000" w14:paraId="00000064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global_work_size, // массив из work_dim размеров</w:t>
      </w:r>
    </w:p>
    <w:p w:rsidR="00000000" w:rsidDel="00000000" w:rsidP="00000000" w:rsidRDefault="00000000" w:rsidRPr="00000000" w14:paraId="00000065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local_work_size,  // массив из work_dim размеров (или NULL)</w:t>
      </w:r>
    </w:p>
    <w:p w:rsidR="00000000" w:rsidDel="00000000" w:rsidP="00000000" w:rsidRDefault="00000000" w:rsidRPr="00000000" w14:paraId="00000066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0, NULL, NULL</w:t>
      </w:r>
    </w:p>
    <w:p w:rsidR="00000000" w:rsidDel="00000000" w:rsidP="00000000" w:rsidRDefault="00000000" w:rsidRPr="00000000" w14:paraId="00000067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keepNext w:val="0"/>
        <w:keepLines w:val="0"/>
        <w:numPr>
          <w:ilvl w:val="0"/>
          <w:numId w:val="6"/>
        </w:numPr>
        <w:spacing w:after="0" w:afterAutospacing="0" w:before="24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Драйвер разбивает NDRange на work-group’ы, распределяет их по вычислительным блокам GPU.</w:t>
        <w:br w:type="textWrapping"/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0"/>
          <w:numId w:val="6"/>
        </w:numPr>
        <w:spacing w:after="0" w:afterAutospacing="0" w:before="0" w:beforeAutospacing="0" w:line="211.05847058823528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Внутри каждой группы все work-item’ы выполняются одновременно по принципу SIMT (SIMD-подобная модель).</w:t>
        <w:br w:type="textWrapping"/>
        <w:br w:type="textWrapping"/>
        <w:br w:type="textWrapping"/>
        <w:t xml:space="preserve">Пример из кода проекта: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clGetPlatformIDs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platform,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VTL_res_opencl_kPlatformError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clGetDeviceIDs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(platform, CL_DEVICE_TYPE_DEFAULT,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device,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VTL_res_opencl_kDeviceError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context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clCreateContext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device,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err)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(!context ||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VTL_res_opencl_kContextError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queue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clCreateCommandQueue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(context, device,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err)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(!queue ||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{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clReleaseContext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VTL_res_opencl_kQueueError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program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clCreateProgramWithSource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kernelSource,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err)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(!program ||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{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clReleaseCommandQueue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(queue)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clReleaseContext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VTL_res_opencl_kProgramError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clBuildProgram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(program, </w:t>
      </w:r>
      <w:r w:rsidDel="00000000" w:rsidR="00000000" w:rsidRPr="00000000">
        <w:rPr>
          <w:rFonts w:ascii="Times New Roman" w:cs="Times New Roman" w:eastAsia="Times New Roman" w:hAnsi="Times New Roman"/>
          <w:color w:val="6897bb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device,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{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clReleaseProgram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(program)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clReleaseCommandQueue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(queue)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clReleaseContext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VTL_res_opencl_kBuildError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hd w:fill="2b2b2b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kernel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clCreateKernel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(program, </w:t>
      </w:r>
      <w:r w:rsidDel="00000000" w:rsidR="00000000" w:rsidRPr="00000000">
        <w:rPr>
          <w:rFonts w:ascii="Times New Roman" w:cs="Times New Roman" w:eastAsia="Times New Roman" w:hAnsi="Times New Roman"/>
          <w:color w:val="6a8759"/>
          <w:sz w:val="19"/>
          <w:szCs w:val="19"/>
          <w:rtl w:val="0"/>
        </w:rPr>
        <w:t xml:space="preserve">"strip_tags"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err)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hd w:fill="2b2b2b" w:val="clear"/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(!kernel || err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CL_SUCCESS) {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clReleaseProgram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(program)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clReleaseCommandQueue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(queue)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c66d"/>
          <w:sz w:val="19"/>
          <w:szCs w:val="19"/>
          <w:rtl w:val="0"/>
        </w:rPr>
        <w:t xml:space="preserve">clReleaseContext</w:t>
      </w:r>
      <w:r w:rsidDel="00000000" w:rsidR="00000000" w:rsidRPr="00000000">
        <w:rPr>
          <w:rFonts w:ascii="Times New Roman" w:cs="Times New Roman" w:eastAsia="Times New Roman" w:hAnsi="Times New Roman"/>
          <w:color w:val="9876aa"/>
          <w:sz w:val="19"/>
          <w:szCs w:val="19"/>
          <w:rtl w:val="0"/>
        </w:rPr>
        <w:t xml:space="preserve">(context)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7832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VTL_res_opencl_kKernelError</w:t>
      </w:r>
      <w:r w:rsidDel="00000000" w:rsidR="00000000" w:rsidRPr="00000000">
        <w:rPr>
          <w:rFonts w:ascii="Times New Roman" w:cs="Times New Roman" w:eastAsia="Times New Roman" w:hAnsi="Times New Roman"/>
          <w:color w:val="cc7832"/>
          <w:sz w:val="19"/>
          <w:szCs w:val="19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a9b7c6"/>
          <w:sz w:val="19"/>
          <w:szCs w:val="19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выполнения</w:t>
      </w:r>
    </w:p>
    <w:p w:rsidR="00000000" w:rsidDel="00000000" w:rsidP="00000000" w:rsidRDefault="00000000" w:rsidRPr="00000000" w14:paraId="0000007A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Модель выполнения включает следующие этапы:</w:t>
        <w:br w:type="textWrapping"/>
        <w:t xml:space="preserve">1. Хост (Host): основная программа, запускающая OpenCL-код</w:t>
        <w:br w:type="textWrapping"/>
        <w:t xml:space="preserve">2. Программа (cl_program): содержит исходный код или бинарный байткод кернелов</w:t>
        <w:br w:type="textWrapping"/>
        <w:t xml:space="preserve">3. Кернел (cl_kernel): функция, выполняемая параллельно на устройстве</w:t>
        <w:br w:type="textWrapping"/>
        <w:t xml:space="preserve">4. NDRange: многомерный диапазон для распределения work-item’ов</w:t>
        <w:br w:type="textWrapping"/>
        <w:t xml:space="preserve">5. Work-group: группа work-items для синхронизации и совместного доступа к локальной памяти</w:t>
      </w:r>
    </w:p>
    <w:p w:rsidR="00000000" w:rsidDel="00000000" w:rsidP="00000000" w:rsidRDefault="00000000" w:rsidRPr="00000000" w14:paraId="0000007B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Модель памяти</w:t>
      </w:r>
    </w:p>
    <w:p w:rsidR="00000000" w:rsidDel="00000000" w:rsidP="00000000" w:rsidRDefault="00000000" w:rsidRPr="00000000" w14:paraId="0000007C">
      <w:pPr>
        <w:spacing w:after="200" w:line="276.000545454545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OpenCL определяет четыре уровня памяти: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__global память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24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основная глобальная память устройства (например, VRAM на GPU).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Объём и скорость: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самая большая по объёму, но относительно медленная по доступу.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Область видимости: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доступна всем work-item’ам во всех work-group’ах.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24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хранение входных и выходных массивов данных, больших буферов, структур. Любые чтения и записи в этой памяти происходят через высокозадержечные операции; поэтому целесообразно минимизировать их количество и объём.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276.0005454545455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qhnwm69lry7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__constant память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24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область памяти только для чтения, оптимизированная для константных данных.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Объём и скорость: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обычно мала (несколько десятков килобайт), но может быть закэширована на аппаратном уровне.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Область видимости: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доступна всем work-item’ам и work-group’ам, однако значения нельзя изменять во время выполнения кернела.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передача неизменяемых параметров (например, матрицы трансформации, коэффициентов фильтра), которые читаются многократно; при этом выгода достигается за счёт кэширования и сокращения трафика к глобальной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276.0005454545455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9925znvph77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__local память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24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быстрая разделяемая память для обмена данными внутри одной work-group’ы.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Объём и скорость: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существенно меньше глобальной, но гораздо быстрее (обычно реализуется как SRAM или L1-кэш).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Область видимости: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доступна только work-item’ам внутри одной группы; каждая work-group получает свою область __local памяти.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Использование: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after="0" w:afterAutospacing="0" w:before="0" w:beforeAutospacing="0" w:line="276.000545454545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Совместное кэширование участков глобальной памяти, чтобы сократить повторные обращения.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after="0" w:afterAutospacing="0" w:before="0" w:beforeAutospacing="0" w:line="276.000545454545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Обмен промежуточными результатами между work-item’ами (например, при реализации редукций, сортировок, свёрток).</w:t>
      </w:r>
    </w:p>
    <w:p w:rsidR="00000000" w:rsidDel="00000000" w:rsidP="00000000" w:rsidRDefault="00000000" w:rsidRPr="00000000" w14:paraId="0000008D">
      <w:pPr>
        <w:numPr>
          <w:ilvl w:val="1"/>
          <w:numId w:val="8"/>
        </w:numPr>
        <w:spacing w:after="240" w:before="0" w:beforeAutospacing="0" w:line="276.000545454545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Синхронизация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barrier(CLK_LOCAL_MEM_FENCE)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для согласованного чтения/записи.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276.0005454545455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1ytyowxv6a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Приватная память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spacing w:after="0" w:afterAutospacing="0" w:before="24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Назначение: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самый быстрый тип памяти, обычно отображается в регистры вычислительных блоков (CU).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Объём и скорость: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крайне ограничена по размеру, но доступ к ней выполняется без задержек.</w:t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Область видимости: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каждая ячейка приватной памяти привязана к одному work-item’у; другие work-item’ы её не видят.</w:t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spacing w:after="0" w:afterAutospacing="0" w:before="0" w:beforeAutospacing="0" w:line="276.0005454545455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Использование:</w:t>
      </w:r>
    </w:p>
    <w:p w:rsidR="00000000" w:rsidDel="00000000" w:rsidP="00000000" w:rsidRDefault="00000000" w:rsidRPr="00000000" w14:paraId="00000093">
      <w:pPr>
        <w:numPr>
          <w:ilvl w:val="1"/>
          <w:numId w:val="14"/>
        </w:numPr>
        <w:spacing w:after="0" w:afterAutospacing="0" w:before="0" w:beforeAutospacing="0" w:line="276.000545454545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Локальные переменные кернела, не объявленные явно как __global, __constant или __local.</w:t>
      </w:r>
    </w:p>
    <w:p w:rsidR="00000000" w:rsidDel="00000000" w:rsidP="00000000" w:rsidRDefault="00000000" w:rsidRPr="00000000" w14:paraId="00000094">
      <w:pPr>
        <w:numPr>
          <w:ilvl w:val="1"/>
          <w:numId w:val="14"/>
        </w:numPr>
        <w:spacing w:after="240" w:before="0" w:beforeAutospacing="0" w:line="276.0005454545455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Хранение промежуточных вычислений, индексов, счётчиков внутри одной инстанции кернела.</w:t>
      </w:r>
    </w:p>
    <w:p w:rsidR="00000000" w:rsidDel="00000000" w:rsidP="00000000" w:rsidRDefault="00000000" w:rsidRPr="00000000" w14:paraId="00000095">
      <w:pPr>
        <w:spacing w:after="200" w:line="276.0005454545455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Буферные объекты</w:t>
      </w:r>
    </w:p>
    <w:p w:rsidR="00000000" w:rsidDel="00000000" w:rsidP="00000000" w:rsidRDefault="00000000" w:rsidRPr="00000000" w14:paraId="00000096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Буферный объект (cl_mem) — абстракция линейного массива байт, доступного и хосту, и устройству. Основные флаги при создании через clCreateBuffer:</w:t>
        <w:br w:type="textWrapping"/>
        <w:t xml:space="preserve">  - CL_MEM_READ_WRITE, CL_MEM_READ_ONLY, CL_MEM_WRITE_ONLY — права доступа</w:t>
        <w:br w:type="textWrapping"/>
        <w:t xml:space="preserve">  - CL_MEM_USE_HOST_PTR — прямое использование памяти хоста</w:t>
        <w:br w:type="textWrapping"/>
        <w:t xml:space="preserve">  - CL_MEM_ALLOC_HOST_PTR — выделение pageable-памяти для ускоренного DMA</w:t>
        <w:br w:type="textWrapping"/>
        <w:t xml:space="preserve">  - CL_MEM_COPY_HOST_PTR — копирование данных из указанного host_ptr при создании</w:t>
      </w:r>
    </w:p>
    <w:p w:rsidR="00000000" w:rsidDel="00000000" w:rsidP="00000000" w:rsidRDefault="00000000" w:rsidRPr="00000000" w14:paraId="00000097">
      <w:pPr>
        <w:keepNext w:val="0"/>
        <w:keepLines w:val="0"/>
        <w:spacing w:after="0" w:before="200" w:line="211.0584705882352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Конвейер работы хост-программы</w:t>
      </w:r>
    </w:p>
    <w:p w:rsidR="00000000" w:rsidDel="00000000" w:rsidP="00000000" w:rsidRDefault="00000000" w:rsidRPr="00000000" w14:paraId="00000098">
      <w:pPr>
        <w:spacing w:after="20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Инициализация платформы и выбор устройства</w:t>
        <w:br w:type="textWrapping"/>
        <w:t xml:space="preserve">2. Создание контекста и очереди команд</w:t>
        <w:br w:type="textWrapping"/>
        <w:t xml:space="preserve">3. Компиляция программы и создание кернела</w:t>
        <w:br w:type="textWrapping"/>
        <w:t xml:space="preserve">4. Создание и заполнение буферов</w:t>
        <w:br w:type="textWrapping"/>
        <w:t xml:space="preserve">5. Установка аргументов кернела</w:t>
        <w:br w:type="textWrapping"/>
        <w:t xml:space="preserve">6. Запуск кернела через clEnqueueNDRangeKernel</w:t>
        <w:br w:type="textWrapping"/>
        <w:t xml:space="preserve">7. Считывание результатов и освобождение ресурсов</w:t>
      </w:r>
    </w:p>
    <w:p w:rsidR="00000000" w:rsidDel="00000000" w:rsidP="00000000" w:rsidRDefault="00000000" w:rsidRPr="00000000" w14:paraId="00000099">
      <w:pPr>
        <w:spacing w:after="200" w:line="276.0005454545455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