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142D"/>
          <w:sz w:val="28"/>
        </w:rPr>
        <w:t>ТЕХНИЧЕСКОЕ ЗАДАНИЕ v2.0</w:t>
      </w:r>
    </w:p>
    <w:p>
      <w:pPr>
        <w:jc w:val="center"/>
      </w:pPr>
      <w:r>
        <w:rPr>
          <w:b/>
          <w:sz w:val="46"/>
        </w:rPr>
        <w:t>Единая система управления общепитом «ЦЕХ»</w:t>
      </w:r>
    </w:p>
    <w:p>
      <w:pPr>
        <w:jc w:val="center"/>
      </w:pPr>
      <w:r>
        <w:rPr>
          <w:i/>
        </w:rPr>
        <w:t>Минимум действий персонала • Пищевая безопасность • Актуальные нормативы РФ • AI-помощник</w:t>
        <w:br/>
        <w:t>Редакция от 20 октября 2026 года</w:t>
      </w:r>
    </w:p>
    <w:p>
      <w:r>
        <w:t>Назначение: новое ТЗ на развитие системы на основе базового ТЗ v1.0 и переданных материалов проекта.</w:t>
      </w:r>
    </w:p>
    <w:p>
      <w:r>
        <w:t>Главный принцип: сотрудник выполняет операцию один раз; система автоматически обновляет связанные записи и показывает конкретное действие при отклонении.</w:t>
      </w:r>
    </w:p>
    <w:p>
      <w:r>
        <w:br w:type="page"/>
      </w:r>
    </w:p>
    <w:p>
      <w:pPr>
        <w:pStyle w:val="Heading1"/>
      </w:pPr>
      <w:r>
        <w:t>0. Статус и принцип</w:t>
      </w:r>
    </w:p>
    <w:p>
      <w:r>
        <w:t>ТЗ v2.0 развивает базовое ТЗ «ЦЕХ» v1.0 от 20.10.2026 и должно внедряться после аудита имеющихся архивов, кассового контура, библиотеки ТТК и материалов MonChef.</w:t>
      </w:r>
    </w:p>
    <w:p>
      <w:r>
        <w:t>Это техническое задание, а не юридическое заключение и не гарантия соответствия предприятия. Нормативные требования публикуются в рабочей конфигурации только после проверки официального текста, редакции, дат и применимости специалистом.</w:t>
      </w:r>
    </w:p>
    <w:p>
      <w:r>
        <w:t>Главный принцип: сотрудник выполняет операцию один раз. Система автоматически создаёт связанные записи, обновляет партии/остатки/задачи/отчёты и направляет к решению проблемы. Запрещено требовать повторно вводить одинаковые данные в разные журналы.</w:t>
      </w:r>
    </w:p>
    <w:p>
      <w:pPr>
        <w:pStyle w:val="Heading1"/>
      </w:pPr>
      <w:r>
        <w:t>1. Цель и правила продукта</w:t>
      </w:r>
    </w:p>
    <w:p>
      <w:r>
        <w:t>Создать простую операционную систему пищевой безопасности и управления общепитом России: приёмка, сроки годности, температуры, отклонения, партии, ХАССП, документы, ТТК и отчётность.</w:t>
      </w:r>
    </w:p>
    <w:p>
      <w:r>
        <w:t>Сотрудник кухни видит только задачи смены, приёмку, температурные замеры, сроки годности и сообщения о проблемах. Руководитель и специалисты получают расширенные панели, нормативный реестр, настройки, отчёты и контроль исполнения.</w:t>
      </w:r>
    </w:p>
    <w:p>
      <w:r>
        <w:t>Интерфейс mobile-first: крупные кнопки, минимум текста, сканирование штрихкода/QR при наличии, минимум экранов и действий. Не перегружать линейного сотрудника правовыми таблицами и административными функциями.</w:t>
      </w:r>
    </w:p>
    <w:p>
      <w:r>
        <w:t>Неизвестное значение не подменяется нулём или догадкой. Измерения, нормативы, рекомендации AI и фактические решения хранятся раздельно.</w:t>
      </w:r>
    </w:p>
    <w:p>
      <w:pPr>
        <w:pStyle w:val="Heading1"/>
      </w:pPr>
      <w:r>
        <w:t>2. Дашборд проблем: обнаружил → открыл → исправил</w:t>
      </w:r>
    </w:p>
    <w:p>
      <w:r>
        <w:t>Показывать проблемы по приоритету: критический риск безопасности; просроченная/карантинная партия; выход за подтверждённый предел; проблемная приёмка; пропущенное обязательное измерение; просроченная задача; предупреждение.</w:t>
      </w:r>
    </w:p>
    <w:p>
      <w:r>
        <w:t>Карточка содержит: что произошло, где/с чем, время, риск, ответственного, срок, источник правила и рекомендуемое действие.</w:t>
      </w:r>
    </w:p>
    <w:p>
      <w:r>
        <w:t>Нажатие на карточку открывает конкретный объект и нужное действие, а не общий раздел. Пример: предупреждение по холодильнику открывает холодильник, последний замер и кнопки «Повторить замер», «Изолировать затронутые продукты» (если это предусмотрено процедурой), «Сообщить ответственному».</w:t>
      </w:r>
    </w:p>
    <w:p>
      <w:r>
        <w:t>Статусы: Новая → В работе → Ожидает проверки → Закрыта. Критическое отклонение нельзя закрыть одной кнопкой без выполнения требуемого действия и, если установлено процедурой, подтверждения ответственного.</w:t>
      </w:r>
    </w:p>
    <w:p>
      <w:pPr>
        <w:pStyle w:val="Heading1"/>
      </w:pPr>
      <w:r>
        <w:t>3. Минимальные сценарии сотрудника</w:t>
      </w:r>
    </w:p>
    <w:p>
      <w:r>
        <w:t>Приёмка: выбрать/отсканировать товар; ввести количество; проверить маркировку и документы, целостность, температуру, срок годности и качество в объёме утверждённой процедуры. Система связывает поставщика и партию, сохраняет результаты, обновляет склад только после успешного завершения установленного процесса.</w:t>
      </w:r>
    </w:p>
    <w:p>
      <w:r>
        <w:t>Температура: выбрать или отсканировать оборудование; ввести показание и единицу либо получить значение с подключённого датчика. Система сохраняет автора, время, объект, значение, единицу, критерий и результат. Отклонение запускает установленную процедуру реакции.</w:t>
      </w:r>
    </w:p>
    <w:p>
      <w:r>
        <w:t>Срок годности: выбрать/отсканировать партию. Система показывает «В норме», «Скоро истекает», «Истёк» или «Срок не подтверждён». Расчёт допускается только по утверждённому основанию, включая применимые условия хранения и момент вскрытия/приготовления.</w:t>
      </w:r>
    </w:p>
    <w:p>
      <w:r>
        <w:t>Завершение: сотрудник подтверждает только фактически выполненную операцию. Журналы и связанные записи формируются автоматически. Если выполнить действие невозможно, сотрудник указывает причину или сообщает о проблеме.</w:t>
      </w:r>
    </w:p>
    <w:p>
      <w:pPr>
        <w:pStyle w:val="Heading1"/>
      </w:pPr>
      <w:r>
        <w:t>4. Приёмка, партии и прослеживаемость</w:t>
      </w:r>
    </w:p>
    <w:p>
      <w:r>
        <w:t>Приёмка фиксирует площадку, поставщика, документ поставки, товар, количество и единицы, номер партии, даты маркировки, обязательные результаты контроля, доказательства, автора и время.</w:t>
      </w:r>
    </w:p>
    <w:p>
      <w:r>
        <w:t>Статусы приёмки: Черновик; Принято; На проверке; Карантин; Отказано; Возвращено. Карантинная или незавершённая партия не попадает в доступный остаток вопреки установленному правилу.</w:t>
      </w:r>
    </w:p>
    <w:p>
      <w:r>
        <w:t>Прослеживаемость: поставщик → документ → партия сырья → место хранения → производственная партия/полуфабрикат/блюдо → продажа или списание. Повторный импорт или POS-событие не создаёт двойную операцию.</w:t>
      </w:r>
    </w:p>
    <w:p>
      <w:r>
        <w:t>Для партий с подтверждённой датой окончания применяется FEFO, если это подходит установленному процессу; просроченные и карантинные остатки блокируются от использования по утверждённым правилам.</w:t>
      </w:r>
    </w:p>
    <w:p>
      <w:pPr>
        <w:pStyle w:val="Heading1"/>
      </w:pPr>
      <w:r>
        <w:t>5. Температуры и отклонения</w:t>
      </w:r>
    </w:p>
    <w:p>
      <w:r>
        <w:t>Пределы, частота и места контроля задаются для конкретной применимости на основании подтверждённого требования, анализа опасностей и утверждённой процедуры. Не зашивать одну универсальную температуру для всех продуктов и процессов.</w:t>
      </w:r>
    </w:p>
    <w:p>
      <w:r>
        <w:t>Запись содержит объект, место, дату/время измерения, время внесения, значение, единицу, автора/датчик, прибор при необходимости, критерий, результат, процедуру, комментарий, доказательство и историю исправлений.</w:t>
      </w:r>
    </w:p>
    <w:p>
      <w:r>
        <w:t>При отклонении создать инцидент, определить потенциально затронутые партии, предложить только утверждённые безопасные шаги, назначить ответственного и срок, уведомить нужные роли и сохранить итог. AI не объявляет продукт безопасным только по одному измерению.</w:t>
      </w:r>
    </w:p>
    <w:p>
      <w:r>
        <w:t>Запрещено задним числом создавать пропущенные показания. Поздний ввод хранит фактическое время измерения отдельно от времени внесения и отмечается как поздний.</w:t>
      </w:r>
    </w:p>
    <w:p>
      <w:pPr>
        <w:pStyle w:val="Heading1"/>
      </w:pPr>
      <w:r>
        <w:t>6. Сроки годности</w:t>
      </w:r>
    </w:p>
    <w:p>
      <w:r>
        <w:t>Не зашивать универсальные сроки хранения в код. Учитывать маркировку изготовителя, состояние и упаковку продукта, условия хранения, вскрытие/перефасовку/приготовление и иные применимые обстоятельства.</w:t>
      </w:r>
    </w:p>
    <w:p>
      <w:r>
        <w:t>Каждое правило срока содержит продукт/категорию, условия, точку начала отсчёта, единицу времени, основание, источник, даты действия и специалиста, утвердившего правило.</w:t>
      </w:r>
    </w:p>
    <w:p>
      <w:r>
        <w:t>При отсутствии подтверждённого основания система не назначает срок самостоятельно, показывает «Срок не подтверждён» и создаёт задачу ответственному. Просроченные партии блокируются согласно утверждённому процессу.</w:t>
      </w:r>
    </w:p>
    <w:p>
      <w:r>
        <w:t>Изменение правил не переписывает задним числом историю закрытых партий. Переход для текущих партий выполняется только по документированному решению.</w:t>
      </w:r>
    </w:p>
    <w:p>
      <w:pPr>
        <w:pStyle w:val="Heading1"/>
      </w:pPr>
      <w:r>
        <w:t>7. Реестр нормативных требований — обязательный модуль</w:t>
      </w:r>
    </w:p>
    <w:p>
      <w:r>
        <w:t>Для каждого требования хранить: ID; официальное название источника; вид, номер, издатель; официальный URL/файл; конкретный пункт; юрисдикцию; обязательность/статус; область применения; связанные процессы и продукты; дату публикации; дату начала и окончания действия; переходные положения; редакцию; дату последней и следующей проверки; проверившее лицо; статус проверки; доказательство и владельца актуализации.</w:t>
      </w:r>
    </w:p>
    <w:p>
      <w:r>
        <w:t>Статусы: Проект; Требует проверки; Проверен специалистом; Утверждён для применения; Скоро вступает в силу; Действует; Приостановлен/оспаривается; Утратил силу; Архивный. AI или сторонняя статья не могут сами присвоить статус «Действует».</w:t>
      </w:r>
    </w:p>
    <w:p>
      <w:r>
        <w:t>Связь: источник → пункт → применимость к предприятию → риск → контрольная процедура → журнал/запись → реакция на отклонение → ответственный → доказательство.</w:t>
      </w:r>
    </w:p>
    <w:p>
      <w:r>
        <w:t>История редакций сохраняется. Новая версия запускает сравнение изменений и задачи пересмотра затронутых процедур. Нельзя незаметно заменить старое правило новым.</w:t>
      </w:r>
    </w:p>
    <w:p>
      <w:r>
        <w:t>Для каждого предприятия формируется нормативный профиль по типу объекта, процессам, продуктам и способу реализации. Требования не считаются универсальными без проверки применимости.</w:t>
      </w:r>
    </w:p>
    <w:p>
      <w:pPr>
        <w:pStyle w:val="Heading1"/>
      </w:pPr>
      <w:r>
        <w:t>8. Стартовый нормативный перечень РФ</w:t>
      </w:r>
    </w:p>
    <w:p>
      <w:r>
        <w:t>СанПиН 2.3/2.4.4282-26, утверждённый постановлением Главного государственного санитарного врача РФ от 02.06.2026 № 18: заявленный период действия с 01.09.2026 по 01.09.2032. Официальный текст, пункты и переходные положения должны быть внесены и проверены специалистом.</w:t>
      </w:r>
    </w:p>
    <w:p>
      <w:r>
        <w:t>СанПиН 2.3/2.4.3590-20 хранить как исторический/переходный источник по официальным датам, не применять автоматически как текущую основу после вступления новых правил в силу.</w:t>
      </w:r>
    </w:p>
    <w:p>
      <w:r>
        <w:t>Проверить применимость и актуальные редакции: ТР ТС 021/2011 «О безопасности пищевой продукции»; ТР ТС 022/2011 о маркировке; ТР ТС 005/2011 об упаковке; ФЗ № 52-ФЗ о санитарно-эпидемиологическом благополучии; ФЗ № 152-ФЗ о персональных данных; ФЗ № 402-ФЗ о бухгалтерском учёте; ФЗ № 54-ФЗ о ККТ; ФЗ № 162-ФЗ о стандартизации; ГОСТ Р 51740-2016 в части применимости.</w:t>
      </w:r>
    </w:p>
    <w:p>
      <w:r>
        <w:t>ТУ, ТТК, технологические инструкции, внутренние процедуры и первичные учётные документы — разные типы документов. Не генерировать ТУ на каждое блюдо автоматически. Не объявлять любой электронный журнал первичным бухгалтерским документом.</w:t>
      </w:r>
    </w:p>
    <w:p>
      <w:r>
        <w:t>Стартовые источники: Роспотребнадзор https://zpp.rospotrebnadzor.ru/news/federal/593840 ; Минтруд — ФЗ № 152-ФЗ https://mintrud.gov.ru/docs/laws/130 ; Минюст — ФЗ № 402-ФЗ https://minjust.gov.ru/ru/documents/7616/ ; ФНС — https://www.nalog.gov.ru/rn77/about_fts/docs/3997100/ . Ссылки — точки старта проверки, а не автоматическое подтверждение интеграции норм.</w:t>
      </w:r>
    </w:p>
    <w:p>
      <w:pPr>
        <w:pStyle w:val="Heading1"/>
      </w:pPr>
      <w:r>
        <w:t>9. Персональные данные и безопасность</w:t>
      </w:r>
    </w:p>
    <w:p>
      <w:r>
        <w:t>Определить роли оператора и обработчиков персональных данных, цели, категории субъектов/данных, законные основания, сроки хранения, круг доступа и порядок уничтожения/обезличивания.</w:t>
      </w:r>
    </w:p>
    <w:p>
      <w:r>
        <w:t>Собирать только необходимые данные; ограничить просмотр и экспорт; журналировать доступ; отзывать доступ при увольнении; поддерживать обработку запросов субъектов в установленном порядке.</w:t>
      </w:r>
    </w:p>
    <w:p>
      <w:r>
        <w:t>Проверить с ответственным специалистом применимость локализации баз данных граждан РФ, уведомления Роскомнадзора, политики обработки, согласий там, где они являются основанием, договоров поручения обработки, требований защиты и реагирования на инциденты.</w:t>
      </w:r>
    </w:p>
    <w:p>
      <w:r>
        <w:t>При использовании внешнего/зарубежного AI-провайдера оценить законность передачи, локализацию, трансграничную передачу и договорные условия. По умолчанию не передавать персональные данные в AI, если задача решается без них.</w:t>
      </w:r>
    </w:p>
    <w:p>
      <w:r>
        <w:t>Технические меры: серверная авторизация, изоляция организаций, TLS, безопасное хранение секретов, резервные копии, контроль выгрузок, безопасные сессии, ограничение попыток входа, журнал безопасности и проверка уязвимостей.</w:t>
      </w:r>
    </w:p>
    <w:p>
      <w:pPr>
        <w:pStyle w:val="Heading1"/>
      </w:pPr>
      <w:r>
        <w:t>10. Первичные документы и касса</w:t>
      </w:r>
    </w:p>
    <w:p>
      <w:r>
        <w:t>Если документ используется как первичный учётный документ, обеспечить обязательные реквизиты по ФЗ № 402-ФЗ, утверждённую организацией форму/порядок, идентификацию ответственных лиц, сохранность и воспроизводимость. Схему утверждают бухгалтер и юрист.</w:t>
      </w:r>
    </w:p>
    <w:p>
      <w:r>
        <w:t>Электронные исправления не стирают исходное значение: хранить первоначальное и исправленное значение, автора, время, основание и способ подтверждения.</w:t>
      </w:r>
    </w:p>
    <w:p>
      <w:r>
        <w:t>Разделять записи пищевой безопасности, управленческие отчёты и первичные бухгалтерские документы. Кассовый модуль работает через интеграцию с ККТ/кассовым ПО; система не заявляет, что заменяет фискальную кассу.</w:t>
      </w:r>
    </w:p>
    <w:p>
      <w:r>
        <w:t>Для POS поддержать продажи, возвраты, отмены, закрытие смены, уникальные ID, сверку, повторную доставку событий и очередь несопоставленных операций.</w:t>
      </w:r>
    </w:p>
    <w:p>
      <w:pPr>
        <w:pStyle w:val="Heading1"/>
      </w:pPr>
      <w:r>
        <w:t>11. AI-помощник</w:t>
      </w:r>
    </w:p>
    <w:p>
      <w:r>
        <w:t>AI объясняет проблему простым языком, ищет требования с цитатой, выявляет противоречия, предлагает корректирующие действия и готовит задачи. Каждая нормативная рекомендация содержит источник, пункт, редакцию и дату проверки.</w:t>
      </w:r>
    </w:p>
    <w:p>
      <w:r>
        <w:t>Формат ответа AI: что обнаружено; почему важно; что сделать сейчас; что нельзя делать до решения; кто подтверждает; какой результат закроет проблему; источник; ограничения и уверенность.</w:t>
      </w:r>
    </w:p>
    <w:p>
      <w:r>
        <w:t>AI запрещено выдумывать нормы, сроки годности, температуры, измерения, лабораторные результаты; утверждать ТТК/ТУ/нормативы; удалять или переписывать закрытые записи; менять остатки/цены без операции и прав; закрывать критическое отклонение без требуемого подтверждения.</w:t>
      </w:r>
    </w:p>
    <w:p>
      <w:r>
        <w:t>Хранить AI-задачу, необходимые входные данные, модель/версию, версию инструкции, источники, ответ, пользователя, принявшего решение, и итог.</w:t>
      </w:r>
    </w:p>
    <w:p>
      <w:pPr>
        <w:pStyle w:val="Heading1"/>
      </w:pPr>
      <w:r>
        <w:t>12. Автоматизация связанных операций</w:t>
      </w:r>
    </w:p>
    <w:p>
      <w:r>
        <w:t>При успешной приёмке: создать партию, сохранить документ и результаты контроля, обновить остаток по транзакционному правилу, назначить место хранения, включить в FEFO и создать применимые задачи.</w:t>
      </w:r>
    </w:p>
    <w:p>
      <w:r>
        <w:t>При производстве: связать партии сырья и версию ТТК, списать фактический расход, записать выход/потери, установить маркировку и срок только по утверждённому основанию.</w:t>
      </w:r>
    </w:p>
    <w:p>
      <w:r>
        <w:t>При продаже: сопоставить позицию с рецептурой/списанием, обработать возвраты и отмены, исключить двойное списание; неизвестное сопоставление отправлять в очередь исключений.</w:t>
      </w:r>
    </w:p>
    <w:p>
      <w:r>
        <w:t>При отклонении: создать инцидент, связать затронутые объекты, назначить ответственного и срок, уведомить роли, сохранить доказательство, итог и проверку эффективности, если она требуется.</w:t>
      </w:r>
    </w:p>
    <w:p>
      <w:pPr>
        <w:pStyle w:val="Heading1"/>
      </w:pPr>
      <w:r>
        <w:t>13. Архитектура и аудит исходников</w:t>
      </w:r>
    </w:p>
    <w:p>
      <w:r>
        <w:t>До переписывания провести аудит: tsekh_CORE100_HARDENING_101_105.zip; tsekh-kassa-63c8b4f.zip; Установка_MonChef_2026-10-13 (2).zip; ttk.zip; таблицы MonChef; TZ_CEH_unified_system_v1.docx. Подготовить карту модулей/API/таблиц, дефектов, дублей, конфликтов ID, тестов, миграций и отката.</w:t>
      </w:r>
    </w:p>
    <w:p>
      <w:r>
        <w:t>Рекомендуется модульный монолит с доменными границами и версионируемым API. Бизнес-правила — на backend. База должна обеспечивать транзакции, миграции, ограничения целостности, аудит и изоляцию tenant_id/organization_id и site_id.</w:t>
      </w:r>
    </w:p>
    <w:p>
      <w:r>
        <w:t>PostgreSQL или эквивалент выбирается после аудита. Google Sheets может использоваться для вспомогательных справочников/экспорта, но не становится единственной транзакционной БД без доказанной достаточности.</w:t>
      </w:r>
    </w:p>
    <w:p>
      <w:r>
        <w:t>Фоновые задачи OCR/AI/PDF/импортов выполняются асинхронно с retry, идемпотентностью, мониторингом и очередью ошибок. Обеспечить резервное копирование и проверенное восстановление, staging, CI/CD и откат.</w:t>
      </w:r>
    </w:p>
    <w:p>
      <w:pPr>
        <w:pStyle w:val="Heading1"/>
      </w:pPr>
      <w:r>
        <w:t>14. Критерии приёмки</w:t>
      </w:r>
    </w:p>
    <w:p>
      <w:r>
        <w:t>AT-01: одна приёмка создаёт необходимые связанные записи без повторного ввода.</w:t>
      </w:r>
    </w:p>
    <w:p>
      <w:r>
        <w:t>AT-02: неизвестный срок не превращается в выдуманную дату; создаётся задача ответственному.</w:t>
      </w:r>
    </w:p>
    <w:p>
      <w:r>
        <w:t>AT-03: просроченная/карантинная партия блокируется по утверждённому правилу.</w:t>
      </w:r>
    </w:p>
    <w:p>
      <w:r>
        <w:t>AT-04: замер хранит значение, единицу, объект, автора/датчик, время события и время внесения.</w:t>
      </w:r>
    </w:p>
    <w:p>
      <w:r>
        <w:t>AT-05: отклонение создаёт инцидент, задачу и уведомление.</w:t>
      </w:r>
    </w:p>
    <w:p>
      <w:r>
        <w:t>AT-06: карточка дашборда открывает конкретный проблемный объект и действие.</w:t>
      </w:r>
    </w:p>
    <w:p>
      <w:r>
        <w:t>AT-07: AI по норме показывает источник, пункт, редакцию и дату проверки.</w:t>
      </w:r>
    </w:p>
    <w:p>
      <w:r>
        <w:t>AT-08: норматив без даты действия, области применения или статуса проверки не активируется автоматически.</w:t>
      </w:r>
    </w:p>
    <w:p>
      <w:r>
        <w:t>AT-09: новая редакция сохраняет историю и инициирует пересмотр связанных процедур.</w:t>
      </w:r>
    </w:p>
    <w:p>
      <w:r>
        <w:t>AT-10: пользователь одной организации не может читать/изменять данные другой; проверка серверная.</w:t>
      </w:r>
    </w:p>
    <w:p>
      <w:r>
        <w:t>AT-11: закрытая запись не переписывается незаметно; исправления аудируются.</w:t>
      </w:r>
    </w:p>
    <w:p>
      <w:r>
        <w:t>AT-12: повторный POS-событие/импорт не создаёт двойной приход или расход.</w:t>
      </w:r>
    </w:p>
    <w:p>
      <w:r>
        <w:t>AT-13: прослеживаемость от сырья к производственной партии и продаже работает в пределах имеющихся данных.</w:t>
      </w:r>
    </w:p>
    <w:p>
      <w:r>
        <w:t>AT-14: документы, заявленные как первичные, проверены на реквизиты 402-ФЗ бухгалтером/юристом.</w:t>
      </w:r>
    </w:p>
    <w:p>
      <w:r>
        <w:t>AT-15: обработка персональных данных документирована и защищена.</w:t>
      </w:r>
    </w:p>
    <w:p>
      <w:r>
        <w:t>AT-16: backup/restore проверен; критический провал безопасности или целостности блокирует релиз.</w:t>
      </w:r>
    </w:p>
    <w:p>
      <w:pPr>
        <w:pStyle w:val="Heading1"/>
      </w:pPr>
      <w:r>
        <w:t>15. Этапы разработки</w:t>
      </w:r>
    </w:p>
    <w:p>
      <w:r>
        <w:t>Этап 0 — аудит архивов, зависимостей, тестов и резервной копии.</w:t>
      </w:r>
    </w:p>
    <w:p>
      <w:r>
        <w:t>Этап 1 — организации, пользователи, роли, изоляция данных, аудит и миграции.</w:t>
      </w:r>
    </w:p>
    <w:p>
      <w:r>
        <w:t>Этап 2 — мобильный интерфейс сотрудника: приёмка, температуры, сроки, задачи и отклонения.</w:t>
      </w:r>
    </w:p>
    <w:p>
      <w:r>
        <w:t>Этап 3 — партии, склад, FEFO, карантин, списания и прослеживаемость.</w:t>
      </w:r>
    </w:p>
    <w:p>
      <w:r>
        <w:t>Этап 4 — нормативный реестр, применимость, версии, даты и проверка специалистом.</w:t>
      </w:r>
    </w:p>
    <w:p>
      <w:r>
        <w:t>Этап 5 — ХАССП, журналы из событий, CAPA, доказательства и экспорт.</w:t>
      </w:r>
    </w:p>
    <w:p>
      <w:r>
        <w:t>Этап 6 — ТТК, себестоимость, POS и экономика.</w:t>
      </w:r>
    </w:p>
    <w:p>
      <w:r>
        <w:t>Этап 7 — AI-помощник с цитированием и подтверждением человеком.</w:t>
      </w:r>
    </w:p>
    <w:p>
      <w:r>
        <w:t>Этап 8 — пилот на одном объекте, тестирование, обучение, восстановление и Go/No-Go.</w:t>
      </w:r>
    </w:p>
    <w:p>
      <w:pPr>
        <w:pStyle w:val="Heading1"/>
      </w:pPr>
      <w:r>
        <w:t>16. Definition of Done</w:t>
      </w:r>
    </w:p>
    <w:p>
      <w:r>
        <w:t>Сотрудник выполняет базовые операции с минимумом действий; записи создаются один раз; дашборд ведёт к конкретному исправлению; просроченные и карантинные партии контролируются; нормативы имеют источник, даты, область применения и статус проверки; персональные данные защищены; документы имеют корректный статус; история не переписывается; резервное восстановление проверено.</w:t>
      </w:r>
    </w:p>
    <w:p>
      <w:r>
        <w:t>Не заявлять «полное соответствие законодательству РФ» только на основании работы программы. Допустимая формулировка: система поддерживает утверждённые процедуры и хранение доказательств; применимость и фактическое соблюдение подтверждаются ответственными специалистами предприятия.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814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