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e57807b7c48aacb00052d015cc140b3ebf5dcb"/>
    <w:p>
      <w:pPr>
        <w:pStyle w:val="Heading1"/>
      </w:pPr>
      <w:r>
        <w:t xml:space="preserve">Лицензионный договор-оферта на использование системы «ЦЕХ» (подписка)</w:t>
      </w:r>
    </w:p>
    <w:p>
      <w:pPr>
        <w:pStyle w:val="BlockText"/>
      </w:pPr>
      <w:r>
        <w:rPr>
          <w:bCs/>
          <w:b/>
        </w:rPr>
        <w:t xml:space="preserve">Черновик для юриста.</w:t>
      </w:r>
      <w:r>
        <w:t xml:space="preserve"> </w:t>
      </w:r>
      <w:r>
        <w:t xml:space="preserve">Поля в квадратных скобках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заполняются правообладателем. Перед публикацией текст проверяет юрист.</w:t>
      </w:r>
    </w:p>
    <w:p>
      <w:pPr>
        <w:pStyle w:val="FirstParagraph"/>
      </w:pPr>
      <w:r>
        <w:t xml:space="preserve">г. [город] · редакция от [дата]</w:t>
      </w:r>
    </w:p>
    <w:p>
      <w:pPr>
        <w:pStyle w:val="BodyText"/>
      </w:pPr>
      <w:r>
        <w:t xml:space="preserve">[Индивидуальный предприниматель Слепцов Денис Владимирович, ОГРНИП …, ИНН …] (далее —</w:t>
      </w:r>
      <w:r>
        <w:t xml:space="preserve"> </w:t>
      </w:r>
      <w:r>
        <w:rPr>
          <w:bCs/>
          <w:b/>
        </w:rPr>
        <w:t xml:space="preserve">Лицензиар</w:t>
      </w:r>
      <w:r>
        <w:t xml:space="preserve">) предлагает любому юридическому лицу или индивидуальному предпринимателю (далее —</w:t>
      </w:r>
      <w:r>
        <w:t xml:space="preserve"> </w:t>
      </w:r>
      <w:r>
        <w:rPr>
          <w:bCs/>
          <w:b/>
        </w:rPr>
        <w:t xml:space="preserve">Лицензиат</w:t>
      </w:r>
      <w:r>
        <w:t xml:space="preserve">) заключить настоящий лицензионный договор (далее —</w:t>
      </w:r>
      <w:r>
        <w:t xml:space="preserve"> </w:t>
      </w:r>
      <w:r>
        <w:rPr>
          <w:bCs/>
          <w:b/>
        </w:rPr>
        <w:t xml:space="preserve">Договор</w:t>
      </w:r>
      <w:r>
        <w:t xml:space="preserve">) на условиях ниже. Договор является публичной офертой (ст. 437 ГК РФ).</w:t>
      </w:r>
    </w:p>
    <w:bookmarkStart w:id="20" w:name="термины"/>
    <w:p>
      <w:pPr>
        <w:pStyle w:val="Heading2"/>
      </w:pPr>
      <w:r>
        <w:t xml:space="preserve">1. Термины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Cs/>
          <w:b/>
        </w:rPr>
        <w:t xml:space="preserve">Система</w:t>
      </w:r>
      <w:r>
        <w:t xml:space="preserve"> </w:t>
      </w:r>
      <w:r>
        <w:t xml:space="preserve">— программа для ЭВМ «ЦЕХ» для управления предприятием общественного питания: производственный контроль и ХАССП, журналы, склад и сроки годности, технологические карты, касса и учёт продаж. Исключительное право на Систему принадлежит Лицензиару.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Cs/>
          <w:b/>
        </w:rPr>
        <w:t xml:space="preserve">Подписка</w:t>
      </w:r>
      <w:r>
        <w:t xml:space="preserve"> </w:t>
      </w:r>
      <w:r>
        <w:t xml:space="preserve">— оплаченный период, в течение которого Лицензиат вправе использовать Систему по выбранному тарифу.</w:t>
      </w:r>
    </w:p>
    <w:p>
      <w:pPr>
        <w:pStyle w:val="BodyText"/>
      </w:pPr>
      <w:r>
        <w:t xml:space="preserve">1.3.</w:t>
      </w:r>
      <w:r>
        <w:t xml:space="preserve"> </w:t>
      </w:r>
      <w:r>
        <w:rPr>
          <w:bCs/>
          <w:b/>
        </w:rPr>
        <w:t xml:space="preserve">Учётная запись Лицензиата</w:t>
      </w:r>
      <w:r>
        <w:t xml:space="preserve"> </w:t>
      </w:r>
      <w:r>
        <w:t xml:space="preserve">— организация (предприятие) в Системе с сотрудниками (пользователями), которых Лицензиат пригласил.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Cs/>
          <w:b/>
        </w:rPr>
        <w:t xml:space="preserve">Данные Лицензиата</w:t>
      </w:r>
      <w:r>
        <w:t xml:space="preserve"> </w:t>
      </w:r>
      <w:r>
        <w:t xml:space="preserve">— сведения, которые Лицензиат и его пользователи вносят в Систему: записи журналов, замеры, приёмки, ТТК, продажи, фото и документы, сведения о сотрудниках.</w:t>
      </w:r>
    </w:p>
    <w:p>
      <w:pPr>
        <w:pStyle w:val="BodyText"/>
      </w:pPr>
      <w:r>
        <w:t xml:space="preserve">1.5.</w:t>
      </w:r>
      <w:r>
        <w:t xml:space="preserve"> </w:t>
      </w:r>
      <w:r>
        <w:rPr>
          <w:bCs/>
          <w:b/>
        </w:rPr>
        <w:t xml:space="preserve">Сайт</w:t>
      </w:r>
      <w:r>
        <w:t xml:space="preserve"> </w:t>
      </w:r>
      <w:r>
        <w:t xml:space="preserve">— [адрес сайта], на котором размещены Договор, тарифы и вход в Систему.</w:t>
      </w:r>
    </w:p>
    <w:bookmarkEnd w:id="20"/>
    <w:bookmarkStart w:id="21" w:name="предмет"/>
    <w:p>
      <w:pPr>
        <w:pStyle w:val="Heading2"/>
      </w:pPr>
      <w:r>
        <w:t xml:space="preserve">2. Предмет</w:t>
      </w:r>
    </w:p>
    <w:p>
      <w:pPr>
        <w:pStyle w:val="FirstParagraph"/>
      </w:pPr>
      <w:r>
        <w:t xml:space="preserve">2.1. Лицензиар предоставляет Лицензиату</w:t>
      </w:r>
      <w:r>
        <w:t xml:space="preserve"> </w:t>
      </w:r>
      <w:r>
        <w:rPr>
          <w:bCs/>
          <w:b/>
        </w:rPr>
        <w:t xml:space="preserve">простую (неисключительную) лицензию</w:t>
      </w:r>
      <w:r>
        <w:t xml:space="preserve"> </w:t>
      </w:r>
      <w:r>
        <w:t xml:space="preserve">на использование Системы на срок Подписки. Способ использования — удалённый доступ через сеть Интернет по назначению Системы, включая воспроизведение в памяти устройств пользователей в объёме, необходимом для работы (ст. 1235, 1280 ГК РФ).</w:t>
      </w:r>
    </w:p>
    <w:p>
      <w:pPr>
        <w:pStyle w:val="BodyText"/>
      </w:pPr>
      <w:r>
        <w:t xml:space="preserve">2.2. Территория использования — [Российская Федерация / весь мир].</w:t>
      </w:r>
    </w:p>
    <w:p>
      <w:pPr>
        <w:pStyle w:val="BodyText"/>
      </w:pPr>
      <w:r>
        <w:t xml:space="preserve">2.3. Лицензиат не получает копию Системы и не вправе: декомпилировать её, кроме случаев, прямо разрешённых законом; передавать доступ третьим лицам, кроме своих работников и привлечённых лиц для работы на своём предприятии; предоставлять сублицензии; использовать Систему для создания конкурирующего продукта.</w:t>
      </w:r>
    </w:p>
    <w:p>
      <w:pPr>
        <w:pStyle w:val="BodyText"/>
      </w:pPr>
      <w:r>
        <w:t xml:space="preserve">2.4. Число предприятий, площадок и пользователей определяется тарифом.</w:t>
      </w:r>
    </w:p>
    <w:bookmarkEnd w:id="21"/>
    <w:bookmarkStart w:id="22" w:name="акцепт-срок"/>
    <w:p>
      <w:pPr>
        <w:pStyle w:val="Heading2"/>
      </w:pPr>
      <w:r>
        <w:t xml:space="preserve">3. Акцепт, срок</w:t>
      </w:r>
    </w:p>
    <w:p>
      <w:pPr>
        <w:pStyle w:val="FirstParagraph"/>
      </w:pPr>
      <w:r>
        <w:t xml:space="preserve">3.1. Акцептом оферты является регистрация организации в Системе с отметкой о согласии с Договором и/или оплата счёта Лицензиара (ст. 438 ГК РФ). С момента акцепта Договор считается заключённым.</w:t>
      </w:r>
    </w:p>
    <w:p>
      <w:pPr>
        <w:pStyle w:val="BodyText"/>
      </w:pPr>
      <w:r>
        <w:t xml:space="preserve">3.2. [Пробный период — … дней без оплаты; по его окончании доступ продолжается после оплаты.]</w:t>
      </w:r>
    </w:p>
    <w:p>
      <w:pPr>
        <w:pStyle w:val="BodyText"/>
      </w:pPr>
      <w:r>
        <w:t xml:space="preserve">3.3. Договор действует до окончания оплаченной Подписки и продлевается на следующий период при её оплате.</w:t>
      </w:r>
    </w:p>
    <w:bookmarkEnd w:id="22"/>
    <w:bookmarkStart w:id="23" w:name="вознаграждение-и-порядок-оплаты"/>
    <w:p>
      <w:pPr>
        <w:pStyle w:val="Heading2"/>
      </w:pPr>
      <w:r>
        <w:t xml:space="preserve">4. Вознаграждение и порядок оплаты</w:t>
      </w:r>
    </w:p>
    <w:p>
      <w:pPr>
        <w:pStyle w:val="FirstParagraph"/>
      </w:pPr>
      <w:r>
        <w:t xml:space="preserve">4.1. Размер лицензионного вознаграждения определяется тарифом на Сайте на дату оплаты. Расчётный период — [месяц / год].</w:t>
      </w:r>
    </w:p>
    <w:p>
      <w:pPr>
        <w:pStyle w:val="BodyText"/>
      </w:pPr>
      <w:r>
        <w:t xml:space="preserve">4.2. Оплата — авансом, по счёту или на Сайте, [в течение … банковских дней].</w:t>
      </w:r>
    </w:p>
    <w:p>
      <w:pPr>
        <w:pStyle w:val="BodyText"/>
      </w:pPr>
      <w:r>
        <w:t xml:space="preserve">4.3. [НДС не облагается на основании подп. 26 п. 2 ст. 149 НК РФ (Система включена в единый реестр российских программ для ЭВМ, запись № …) / НДС не облагается в связи с применением Лицензиаром упрощённой системы налогообложения.] —</w:t>
      </w:r>
      <w:r>
        <w:t xml:space="preserve"> </w:t>
      </w:r>
      <w:r>
        <w:rPr>
          <w:iCs/>
          <w:i/>
        </w:rPr>
        <w:t xml:space="preserve">выбрать с бухгалтером.</w:t>
      </w:r>
    </w:p>
    <w:p>
      <w:pPr>
        <w:pStyle w:val="BodyText"/>
      </w:pPr>
      <w:r>
        <w:t xml:space="preserve">4.4. При неоплате очередного периода доступ ограничивается режимом «только просмотр и выгрузка» на [30] дней, затем приостанавливается. Данные Лицензиата в этот период не удаляются (раздел 8).</w:t>
      </w:r>
    </w:p>
    <w:p>
      <w:pPr>
        <w:pStyle w:val="BodyText"/>
      </w:pPr>
      <w:r>
        <w:t xml:space="preserve">4.5. Документы об оказанных услугах (УПД / акт) [формируются ежемесячно и направляются в электронном виде].</w:t>
      </w:r>
    </w:p>
    <w:bookmarkEnd w:id="23"/>
    <w:bookmarkStart w:id="24" w:name="обязанности-лицензиара"/>
    <w:p>
      <w:pPr>
        <w:pStyle w:val="Heading2"/>
      </w:pPr>
      <w:r>
        <w:t xml:space="preserve">5. Обязанности Лицензиара</w:t>
      </w:r>
    </w:p>
    <w:p>
      <w:pPr>
        <w:pStyle w:val="FirstParagraph"/>
      </w:pPr>
      <w:r>
        <w:t xml:space="preserve">5.1. Обеспечивать работу Системы и доступ к ней, за исключением плановых работ (с уведомлением не менее чем за [24] часа) и обстоятельств вне контроля Лицензиара. Целевая доступность — [99 %] времени в месяц.</w:t>
      </w:r>
    </w:p>
    <w:p>
      <w:pPr>
        <w:pStyle w:val="BodyText"/>
      </w:pPr>
      <w:r>
        <w:t xml:space="preserve">5.2. Хранить данные Лицензиата на серверах, расположенных на территории Российской Федерации.</w:t>
      </w:r>
    </w:p>
    <w:p>
      <w:pPr>
        <w:pStyle w:val="BodyText"/>
      </w:pPr>
      <w:r>
        <w:t xml:space="preserve">5.3. Ежедневно создавать резервные копии с проверкой восстановления; хранить их не менее [30] дней.</w:t>
      </w:r>
    </w:p>
    <w:p>
      <w:pPr>
        <w:pStyle w:val="BodyText"/>
      </w:pPr>
      <w:r>
        <w:t xml:space="preserve">5.4. Оказывать техническую поддержку: [email / телефон], [время работы], срок первого ответа — [1 рабочий день].</w:t>
      </w:r>
    </w:p>
    <w:p>
      <w:pPr>
        <w:pStyle w:val="BodyText"/>
      </w:pPr>
      <w:r>
        <w:t xml:space="preserve">5.5. Обрабатывать персональные данные по поручению Лицензиата на условиях Приложения 1.</w:t>
      </w:r>
    </w:p>
    <w:p>
      <w:pPr>
        <w:pStyle w:val="BodyText"/>
      </w:pPr>
      <w:r>
        <w:t xml:space="preserve">5.6. Обновлять Систему. Изменения, ухудшающие оплаченные функции, вносятся с уведомлением не менее чем за [30] дней.</w:t>
      </w:r>
    </w:p>
    <w:bookmarkEnd w:id="24"/>
    <w:bookmarkStart w:id="25" w:name="обязанности-лицензиата"/>
    <w:p>
      <w:pPr>
        <w:pStyle w:val="Heading2"/>
      </w:pPr>
      <w:r>
        <w:t xml:space="preserve">6. Обязанности Лицензиата</w:t>
      </w:r>
    </w:p>
    <w:p>
      <w:pPr>
        <w:pStyle w:val="FirstParagraph"/>
      </w:pPr>
      <w:r>
        <w:t xml:space="preserve">6.1. Своевременно оплачивать Подписку.</w:t>
      </w:r>
    </w:p>
    <w:p>
      <w:pPr>
        <w:pStyle w:val="BodyText"/>
      </w:pPr>
      <w:r>
        <w:t xml:space="preserve">6.2. Обеспечивать, чтобы пользователи входили только под своими учётными записями, не передавали пароли и соблюдали правила работы в Системе.</w:t>
      </w:r>
    </w:p>
    <w:p>
      <w:pPr>
        <w:pStyle w:val="BodyText"/>
      </w:pPr>
      <w:r>
        <w:t xml:space="preserve">6.3. Вносить достоверные сведения. Лицензиат самостоятельно отвечает за соблюдение санитарных правил, программы производственного контроля, принципов ХАССП, законодательства о ККТ (54-ФЗ), бухгалтерском учёте и трудового законодательства.</w:t>
      </w:r>
    </w:p>
    <w:p>
      <w:pPr>
        <w:pStyle w:val="BodyText"/>
      </w:pPr>
      <w:r>
        <w:t xml:space="preserve">6.4. Как оператор персональных данных своих работников — выполнять требования 152-ФЗ: правовое основание обработки, уведомление работников, политика, назначение ответственного.</w:t>
      </w:r>
    </w:p>
    <w:bookmarkEnd w:id="25"/>
    <w:bookmarkStart w:id="26" w:name="назначение-системы-и-ограничения"/>
    <w:p>
      <w:pPr>
        <w:pStyle w:val="Heading2"/>
      </w:pPr>
      <w:r>
        <w:t xml:space="preserve">7. Назначение Системы и ограничения</w:t>
      </w:r>
    </w:p>
    <w:p>
      <w:pPr>
        <w:pStyle w:val="FirstParagraph"/>
      </w:pPr>
      <w:r>
        <w:t xml:space="preserve">7.1. Система — инструмент учёта и контроля. Она</w:t>
      </w:r>
      <w:r>
        <w:t xml:space="preserve"> </w:t>
      </w:r>
      <w:r>
        <w:rPr>
          <w:bCs/>
          <w:b/>
        </w:rPr>
        <w:t xml:space="preserve">не заменяет</w:t>
      </w:r>
      <w:r>
        <w:t xml:space="preserve"> </w:t>
      </w:r>
      <w:r>
        <w:t xml:space="preserve">решений ответственных лиц Лицензиата, лабораторных исследований, программы производственного контроля и консультаций специалистов.</w:t>
      </w:r>
    </w:p>
    <w:p>
      <w:pPr>
        <w:pStyle w:val="BodyText"/>
      </w:pPr>
      <w:r>
        <w:t xml:space="preserve">7.2. Нормативные требования в реестре Системы применяются после проверки и утверждения ответственным лицом Лицензиата. Лицензиар не гарантирует, что справочные тексты соответствуют действующим редакциям нормативных актов на любую дату.</w:t>
      </w:r>
    </w:p>
    <w:p>
      <w:pPr>
        <w:pStyle w:val="BodyText"/>
      </w:pPr>
      <w:r>
        <w:t xml:space="preserve">7.3. Пищевая ценность (КБЖУ) в Системе ориентировочная и не предназначена для маркировки продукции без проверки специалистом.</w:t>
      </w:r>
    </w:p>
    <w:p>
      <w:pPr>
        <w:pStyle w:val="BodyText"/>
      </w:pPr>
      <w:r>
        <w:t xml:space="preserve">7.4. Подсказки AI-помощника (если функция подключена) носят справочный характер, не являются консультацией и требуют решения человека. По умолчанию функция отключена.</w:t>
      </w:r>
    </w:p>
    <w:p>
      <w:pPr>
        <w:pStyle w:val="BodyText"/>
      </w:pPr>
      <w:r>
        <w:t xml:space="preserve">7.5. Система не является контрольно-кассовой техникой. Фискальные документы формируются на ККТ Лицензиата.</w:t>
      </w:r>
    </w:p>
    <w:bookmarkEnd w:id="26"/>
    <w:bookmarkStart w:id="27" w:name="данные-лицензиата"/>
    <w:p>
      <w:pPr>
        <w:pStyle w:val="Heading2"/>
      </w:pPr>
      <w:r>
        <w:t xml:space="preserve">8. Данные Лицензиата</w:t>
      </w:r>
    </w:p>
    <w:p>
      <w:pPr>
        <w:pStyle w:val="FirstParagraph"/>
      </w:pPr>
      <w:r>
        <w:t xml:space="preserve">8.1. Данные Лицензиата принадлежат Лицензиату. Лицензиар не использует их в иных целях, кроме исполнения Договора, и не передаёт третьим лицам, кроме случаев, указанных в Приложении 1 и предусмотренных законом.</w:t>
      </w:r>
    </w:p>
    <w:p>
      <w:pPr>
        <w:pStyle w:val="BodyText"/>
      </w:pPr>
      <w:r>
        <w:t xml:space="preserve">8.2. Записи журналов, замеры и действия пользователей хранятся неизменяемыми: исправления сохраняются рядом с исходной записью. Это свойство Системы, а не ограничение прав Лицензиата.</w:t>
      </w:r>
    </w:p>
    <w:p>
      <w:pPr>
        <w:pStyle w:val="BodyText"/>
      </w:pPr>
      <w:r>
        <w:t xml:space="preserve">8.3. В течение [30] дней после прекращения Договора Лицензиат вправе получить выгрузку своих данных в машиночитаемом виде. По истечении этого срока данные удаляются, резервные копии — по мере их ротации, но не позднее [60] дней. По письменному требованию Лицензиата удаление выполняется раньше.</w:t>
      </w:r>
    </w:p>
    <w:bookmarkEnd w:id="27"/>
    <w:bookmarkStart w:id="28" w:name="ответственность"/>
    <w:p>
      <w:pPr>
        <w:pStyle w:val="Heading2"/>
      </w:pPr>
      <w:r>
        <w:t xml:space="preserve">9. Ответственность</w:t>
      </w:r>
    </w:p>
    <w:p>
      <w:pPr>
        <w:pStyle w:val="FirstParagraph"/>
      </w:pPr>
      <w:r>
        <w:t xml:space="preserve">9.1. Совокупная ответственность Лицензиара по Договору ограничена суммой вознаграждения, уплаченной Лицензиатом за [последние 12 месяцев / последний оплаченный период], за исключением случаев умысла.</w:t>
      </w:r>
    </w:p>
    <w:p>
      <w:pPr>
        <w:pStyle w:val="BodyText"/>
      </w:pPr>
      <w:r>
        <w:t xml:space="preserve">9.2. Лицензиар не отвечает за упущенную выгоду и за последствия решений, принятых Лицензиатом на основании данных Системы, а также за перерывы, вызванные действиями третьих лиц (провайдеров связи, хостинга) и обстоятельствами непреодолимой силы.</w:t>
      </w:r>
    </w:p>
    <w:p>
      <w:pPr>
        <w:pStyle w:val="BodyText"/>
      </w:pPr>
      <w:r>
        <w:t xml:space="preserve">9.3. Лицензиат отвечает за действия своих пользователей в Системе.</w:t>
      </w:r>
    </w:p>
    <w:bookmarkEnd w:id="28"/>
    <w:bookmarkStart w:id="29" w:name="конфиденциальность"/>
    <w:p>
      <w:pPr>
        <w:pStyle w:val="Heading2"/>
      </w:pPr>
      <w:r>
        <w:t xml:space="preserve">10. Конфиденциальность</w:t>
      </w:r>
    </w:p>
    <w:p>
      <w:pPr>
        <w:pStyle w:val="FirstParagraph"/>
      </w:pPr>
      <w:r>
        <w:t xml:space="preserve">10.1. Стороны сохраняют в тайне полученную друг от друга непубличную информацию в течение срока Договора и [3] лет после его прекращения.</w:t>
      </w:r>
    </w:p>
    <w:bookmarkEnd w:id="29"/>
    <w:bookmarkStart w:id="30" w:name="изменение-и-расторжение"/>
    <w:p>
      <w:pPr>
        <w:pStyle w:val="Heading2"/>
      </w:pPr>
      <w:r>
        <w:t xml:space="preserve">11. Изменение и расторжение</w:t>
      </w:r>
    </w:p>
    <w:p>
      <w:pPr>
        <w:pStyle w:val="FirstParagraph"/>
      </w:pPr>
      <w:r>
        <w:t xml:space="preserve">11.1. Лицензиар вправе изменить условия оферты, опубликовав новую редакцию на Сайте не менее чем за [30] дней до вступления в силу. Новые условия применяются к следующему оплаченному периоду.</w:t>
      </w:r>
    </w:p>
    <w:p>
      <w:pPr>
        <w:pStyle w:val="BodyText"/>
      </w:pPr>
      <w:r>
        <w:t xml:space="preserve">11.2. Лицензиат вправе отказаться от Договора в любой момент. [Возврат за неиспользованный период — …].</w:t>
      </w:r>
    </w:p>
    <w:p>
      <w:pPr>
        <w:pStyle w:val="BodyText"/>
      </w:pPr>
      <w:r>
        <w:t xml:space="preserve">11.3. Лицензиар вправе отказаться от Договора при существенном нарушении Лицензиатом разделов 2.3, 6.2 с уведомлением за [10] дней.</w:t>
      </w:r>
    </w:p>
    <w:bookmarkEnd w:id="30"/>
    <w:bookmarkStart w:id="31" w:name="споры-и-применимое-право"/>
    <w:p>
      <w:pPr>
        <w:pStyle w:val="Heading2"/>
      </w:pPr>
      <w:r>
        <w:t xml:space="preserve">12. Споры и применимое право</w:t>
      </w:r>
    </w:p>
    <w:p>
      <w:pPr>
        <w:pStyle w:val="FirstParagraph"/>
      </w:pPr>
      <w:r>
        <w:t xml:space="preserve">12.1. Применяется право Российской Федерации.</w:t>
      </w:r>
    </w:p>
    <w:p>
      <w:pPr>
        <w:pStyle w:val="BodyText"/>
      </w:pPr>
      <w:r>
        <w:t xml:space="preserve">12.2. Претензионный порядок обязателен, срок ответа на претензию — [30] дней. Неурегулированные споры рассматриваются в арбитражном суде по месту нахождения Лицензиара.</w:t>
      </w:r>
    </w:p>
    <w:bookmarkEnd w:id="31"/>
    <w:bookmarkStart w:id="32" w:name="реквизиты-лицензиара"/>
    <w:p>
      <w:pPr>
        <w:pStyle w:val="Heading2"/>
      </w:pPr>
      <w:r>
        <w:t xml:space="preserve">13. Реквизиты Лицензиара</w:t>
      </w:r>
    </w:p>
    <w:p>
      <w:pPr>
        <w:pStyle w:val="FirstParagraph"/>
      </w:pPr>
      <w:r>
        <w:t xml:space="preserve">[Наименование, ИНН, ОГРНИП, адрес, банковские реквизиты, email для юридически значимых сообщений, телефон]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Приложение 1</w:t>
      </w:r>
      <w:r>
        <w:t xml:space="preserve"> </w:t>
      </w:r>
      <w:r>
        <w:t xml:space="preserve">— Поручение на обработку персональных данных (</w:t>
      </w:r>
      <w:r>
        <w:rPr>
          <w:rStyle w:val="VerbatimChar"/>
        </w:rPr>
        <w:t xml:space="preserve">02_Поручение_на_обработку_ПДн.md</w:t>
      </w:r>
      <w:r>
        <w:t xml:space="preserve">).</w:t>
      </w:r>
      <w:r>
        <w:t xml:space="preserve"> </w:t>
      </w:r>
      <w:r>
        <w:rPr>
          <w:bCs/>
          <w:b/>
        </w:rPr>
        <w:t xml:space="preserve">Приложение 2</w:t>
      </w:r>
      <w:r>
        <w:t xml:space="preserve"> </w:t>
      </w:r>
      <w:r>
        <w:t xml:space="preserve">— Тарифы (на Сайте).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2026-10-21T08:41:55Z</dcterms:created>
  <dcterms:modified xsi:type="dcterms:W3CDTF">2026-10-21T08:41:55Z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