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bf2c9dad0821dbf39009f30d4b9b3ea092d2f50"/>
    <w:p>
      <w:pPr>
        <w:pStyle w:val="Heading1"/>
      </w:pPr>
      <w:r>
        <w:t xml:space="preserve">Приложение 1 к лицензионному договору. Поручение на обработку персональных данных</w:t>
      </w:r>
    </w:p>
    <w:p>
      <w:pPr>
        <w:pStyle w:val="BlockText"/>
      </w:pPr>
      <w:r>
        <w:rPr>
          <w:bCs/>
          <w:b/>
        </w:rPr>
        <w:t xml:space="preserve">Черновик для юриста.</w:t>
      </w:r>
      <w:r>
        <w:t xml:space="preserve"> </w:t>
      </w:r>
      <w:r>
        <w:t xml:space="preserve">Поручение по ч. 3 ст. 6 Федерального закона № 152-ФЗ «О персональных данных». Состав данных и меры защиты описаны по фактическому устройству системы «ЦЕХ».</w:t>
      </w:r>
    </w:p>
    <w:p>
      <w:pPr>
        <w:pStyle w:val="FirstParagraph"/>
      </w:pPr>
      <w:r>
        <w:rPr>
          <w:bCs/>
          <w:b/>
        </w:rPr>
        <w:t xml:space="preserve">Оператор</w:t>
      </w:r>
      <w:r>
        <w:t xml:space="preserve"> </w:t>
      </w:r>
      <w:r>
        <w:t xml:space="preserve">— Лицензиат.</w:t>
      </w:r>
      <w:r>
        <w:t xml:space="preserve"> </w:t>
      </w:r>
      <w:r>
        <w:rPr>
          <w:bCs/>
          <w:b/>
        </w:rPr>
        <w:t xml:space="preserve">Обработчик</w:t>
      </w:r>
      <w:r>
        <w:t xml:space="preserve"> </w:t>
      </w:r>
      <w:r>
        <w:t xml:space="preserve">— Лицензиар. Акцептуя Договор, Оператор поручает Обработчику обработку персональных данных на условиях ниже.</w:t>
      </w:r>
    </w:p>
    <w:bookmarkStart w:id="20" w:name="цель-обработки"/>
    <w:p>
      <w:pPr>
        <w:pStyle w:val="Heading2"/>
      </w:pPr>
      <w:r>
        <w:t xml:space="preserve">1. Цель обработки</w:t>
      </w:r>
    </w:p>
    <w:p>
      <w:pPr>
        <w:pStyle w:val="FirstParagraph"/>
      </w:pPr>
      <w:r>
        <w:t xml:space="preserve">Обеспечение работы Системы для Оператора: вход пользователей, подписание записей производственного контроля и учёта именем сотрудника, разграничение прав, уведомления, хранение и резервное копирование данных.</w:t>
      </w:r>
    </w:p>
    <w:bookmarkEnd w:id="20"/>
    <w:bookmarkStart w:id="21" w:name="субъекты-и-перечень-данных"/>
    <w:p>
      <w:pPr>
        <w:pStyle w:val="Heading2"/>
      </w:pPr>
      <w:r>
        <w:t xml:space="preserve">2. Субъекты и перечень данных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Субъекты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 Системе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Работники Оператора и иные лица, допущенные Оператором (пользователи)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фамилия, имя, отчество; адрес электронной почты; должность и роль в Системе; хеш пароля (сам пароль не хранится)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учётные записи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IP-адрес, сведения об устройстве и браузере, время входа и выхода, неудачные попытки входа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сессии, журнал входов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действия в Системе: что, когда, с какого IP-адреса; ФИО в записях журналов, отклонений, CAPA, приёмок, кассовых смен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аудита, записи операций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Лица, которых Оператор пригласил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 (если указано),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приглашения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Лица на фотографиях, загруженных Оператором как доказательства (если попали в кадр)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изображение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файлы-доказательства</w:t>
            </w:r>
          </w:p>
        </w:tc>
      </w:tr>
    </w:tbl>
    <w:p>
      <w:pPr>
        <w:pStyle w:val="BodyText"/>
      </w:pPr>
      <w:r>
        <w:t xml:space="preserve">Специальные категории (ст. 10) и биометрические данные (ст. 11) Система для обработки не предназначена. Оператор не загружает такие данные в Систему.</w:t>
      </w:r>
    </w:p>
    <w:bookmarkEnd w:id="21"/>
    <w:bookmarkStart w:id="22" w:name="действия-с-данными"/>
    <w:p>
      <w:pPr>
        <w:pStyle w:val="Heading2"/>
      </w:pPr>
      <w:r>
        <w:t xml:space="preserve">3. Действия с данными</w:t>
      </w:r>
    </w:p>
    <w:p>
      <w:pPr>
        <w:pStyle w:val="FirstParagraph"/>
      </w:pPr>
      <w:r>
        <w:t xml:space="preserve">Сбор (через интерфейс Системы), запись, систематизация, накопление, хранение, уточнение, извлечение, использование, блокирование, удаление, уничтожение. Обработка автоматизированная.</w:t>
      </w:r>
    </w:p>
    <w:p>
      <w:pPr>
        <w:pStyle w:val="BodyText"/>
      </w:pPr>
      <w:r>
        <w:t xml:space="preserve">Обработчик</w:t>
      </w:r>
      <w:r>
        <w:t xml:space="preserve"> </w:t>
      </w:r>
      <w:r>
        <w:rPr>
          <w:bCs/>
          <w:b/>
        </w:rPr>
        <w:t xml:space="preserve">не передаёт</w:t>
      </w:r>
      <w:r>
        <w:t xml:space="preserve"> </w:t>
      </w:r>
      <w:r>
        <w:t xml:space="preserve">данные третьим лицам, кроме следующих субподрядчиков, без которых работа Системы невозможна: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Субподрядчик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ООО «Яндекс.Облако» (Yandex 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вычислительные ресурсы, хранение базы данных и резервных копий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центры обработки данных на территории РФ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[Почтовый сервис: Яндекс 360 для бизнеса / Yandex Cloud Postbox]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 служебных писем (приглашение, подтверждение email, сброс пароля)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территория РФ</w:t>
            </w:r>
          </w:p>
        </w:tc>
      </w:tr>
    </w:tbl>
    <w:p>
      <w:pPr>
        <w:pStyle w:val="BodyText"/>
      </w:pPr>
      <w:r>
        <w:t xml:space="preserve">О смене субподрядчика Обработчик уведомляет Оператора не менее чем за [30] дней.</w:t>
      </w:r>
    </w:p>
    <w:bookmarkEnd w:id="22"/>
    <w:bookmarkStart w:id="23" w:name="локализация"/>
    <w:p>
      <w:pPr>
        <w:pStyle w:val="Heading2"/>
      </w:pPr>
      <w:r>
        <w:t xml:space="preserve">4. Локализация</w:t>
      </w:r>
    </w:p>
    <w:p>
      <w:pPr>
        <w:pStyle w:val="FirstParagraph"/>
      </w:pPr>
      <w:r>
        <w:t xml:space="preserve">Запись, систематизация, накопление, хранение, уточнение и извлечение персональных данных граждан РФ осуществляются с использованием баз данных, находящихся на территории РФ (ч. 5 ст. 18 152-ФЗ). Трансграничная передача не осуществляется.</w:t>
      </w:r>
    </w:p>
    <w:p>
      <w:pPr>
        <w:pStyle w:val="BodyText"/>
      </w:pPr>
      <w:r>
        <w:t xml:space="preserve">Функция AI-помощника по умолчанию</w:t>
      </w:r>
      <w:r>
        <w:t xml:space="preserve"> </w:t>
      </w:r>
      <w:r>
        <w:rPr>
          <w:bCs/>
          <w:b/>
        </w:rPr>
        <w:t xml:space="preserve">отключена</w:t>
      </w:r>
      <w:r>
        <w:t xml:space="preserve">. Её включение возможно только по отдельному письменному согласованию с Оператором. В этом случае Обработчик предварительно описывает, какие данные передаются: фамилии, имена и email пользователей во внешний сервис не передаются, передаются только данные отклонения и тексты требований.</w:t>
      </w:r>
    </w:p>
    <w:bookmarkEnd w:id="23"/>
    <w:bookmarkStart w:id="24" w:name="меры-защиты-ст.-18.1-19-152-фз"/>
    <w:p>
      <w:pPr>
        <w:pStyle w:val="Heading2"/>
      </w:pPr>
      <w:r>
        <w:t xml:space="preserve">5. Меры защиты (ст. 18.1, 19 152-ФЗ)</w:t>
      </w:r>
    </w:p>
    <w:p>
      <w:pPr>
        <w:pStyle w:val="FirstParagraph"/>
      </w:pPr>
      <w:r>
        <w:t xml:space="preserve">Обработчик обеспечивает: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Разграничение доступа.</w:t>
      </w:r>
      <w:r>
        <w:t xml:space="preserve"> </w:t>
      </w:r>
      <w:r>
        <w:t xml:space="preserve">Права проверяются на сервере для каждого действия по роли пользователя и площадке. Данные разных организаций изолированы на уровне базы данных (row-level security). Сотрудники Обработчика получают доступ к данным Оператора только для поддержки по его обращению или для восстановления после сбоя.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Аутентификация.</w:t>
      </w:r>
      <w:r>
        <w:t xml:space="preserve"> </w:t>
      </w:r>
      <w:r>
        <w:t xml:space="preserve">Пароли хранятся только в виде хеша (scrypt). Ссылки и сессии хранятся как хеши токенов. После 5 неверных паролей вход блокируется на 15 минут. Сессия отзывается при смене пароля.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Защита каналов.</w:t>
      </w:r>
      <w:r>
        <w:t xml:space="preserve"> </w:t>
      </w:r>
      <w:r>
        <w:t xml:space="preserve">Доступ только по HTTPS (TLS), включён HSTS.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Регистрация событий.</w:t>
      </w:r>
      <w:r>
        <w:t xml:space="preserve"> </w:t>
      </w:r>
      <w:r>
        <w:t xml:space="preserve">Журнал аудита ведётся только на дописывание и защищён цепочкой хешей SHA-256: изменение или удаление записей обнаруживается.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Резервное копирование.</w:t>
      </w:r>
      <w:r>
        <w:t xml:space="preserve"> </w:t>
      </w:r>
      <w:r>
        <w:t xml:space="preserve">Ежедневная копия с автоматической проверкой восстановления, хранение в объектном хранилище в РФ.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Обновления.</w:t>
      </w:r>
      <w:r>
        <w:t xml:space="preserve"> </w:t>
      </w:r>
      <w:r>
        <w:t xml:space="preserve">Система и её компоненты своевременно обновляются, известные уязвимости устраняются.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Учёт машинных носителей и физическая защита</w:t>
      </w:r>
      <w:r>
        <w:t xml:space="preserve"> </w:t>
      </w:r>
      <w:r>
        <w:t xml:space="preserve">обеспечиваются центром обработки данных субподрядчика.</w:t>
      </w:r>
    </w:p>
    <w:p>
      <w:pPr>
        <w:numPr>
          <w:ilvl w:val="0"/>
          <w:numId w:val="1001"/>
        </w:numPr>
        <w:pStyle w:val="Compact"/>
      </w:pPr>
      <w:r>
        <w:t xml:space="preserve">Уровень защищённости персональных данных — [УЗ-4] (Постановление Правительства РФ № 1119).</w:t>
      </w:r>
      <w:r>
        <w:t xml:space="preserve"> </w:t>
      </w:r>
      <w:r>
        <w:rPr>
          <w:iCs/>
          <w:i/>
        </w:rPr>
        <w:t xml:space="preserve">Определить с юристом по составу данных и угрозам.</w:t>
      </w:r>
    </w:p>
    <w:bookmarkEnd w:id="24"/>
    <w:bookmarkStart w:id="25" w:name="обязанности-обработчика"/>
    <w:p>
      <w:pPr>
        <w:pStyle w:val="Heading2"/>
      </w:pPr>
      <w:r>
        <w:t xml:space="preserve">6. Обязанности Обработчика</w:t>
      </w:r>
    </w:p>
    <w:p>
      <w:pPr>
        <w:numPr>
          <w:ilvl w:val="0"/>
          <w:numId w:val="1002"/>
        </w:numPr>
        <w:pStyle w:val="Compact"/>
      </w:pPr>
      <w:r>
        <w:t xml:space="preserve">Обрабатывать данные только по поручению и в целях раздела 1.</w:t>
      </w:r>
    </w:p>
    <w:p>
      <w:pPr>
        <w:numPr>
          <w:ilvl w:val="0"/>
          <w:numId w:val="1002"/>
        </w:numPr>
        <w:pStyle w:val="Compact"/>
      </w:pPr>
      <w:r>
        <w:t xml:space="preserve">Соблюдать конфиденциальность.</w:t>
      </w:r>
    </w:p>
    <w:p>
      <w:pPr>
        <w:numPr>
          <w:ilvl w:val="0"/>
          <w:numId w:val="1002"/>
        </w:numPr>
        <w:pStyle w:val="Compact"/>
      </w:pPr>
      <w:r>
        <w:t xml:space="preserve">По запросу Оператора в течение [5] рабочих дней предоставлять сведения, необходимые для ответа субъекту (ст. 14). Каждый пользователь может сам выгрузить сведения о себе: «Управление → Мои данные».</w:t>
      </w:r>
    </w:p>
    <w:p>
      <w:pPr>
        <w:numPr>
          <w:ilvl w:val="0"/>
          <w:numId w:val="1002"/>
        </w:numPr>
        <w:pStyle w:val="Compact"/>
      </w:pPr>
      <w:r>
        <w:t xml:space="preserve">Уведомлять Оператора об инциденте с персональными данными не позднее [24 часов] с момента обнаружения, чтобы Оператор мог исполнить обязанность по ч. 3.1 ст. 21 152-ФЗ.</w:t>
      </w:r>
    </w:p>
    <w:p>
      <w:pPr>
        <w:numPr>
          <w:ilvl w:val="0"/>
          <w:numId w:val="1002"/>
        </w:numPr>
        <w:pStyle w:val="Compact"/>
      </w:pPr>
      <w:r>
        <w:t xml:space="preserve">По окончании Договора — передать данные Оператору (выгрузка) и уничтожить их в сроки раздела 8 Договора, подтвердив уничтожение актом.</w:t>
      </w:r>
    </w:p>
    <w:bookmarkEnd w:id="25"/>
    <w:bookmarkStart w:id="26" w:name="обязанности-оператора"/>
    <w:p>
      <w:pPr>
        <w:pStyle w:val="Heading2"/>
      </w:pPr>
      <w:r>
        <w:t xml:space="preserve">7. Обязанности Оператора</w:t>
      </w:r>
    </w:p>
    <w:p>
      <w:pPr>
        <w:pStyle w:val="FirstParagraph"/>
      </w:pPr>
      <w:r>
        <w:t xml:space="preserve">Обеспечить законное основание обработки (в том числе для работников — в рамках трудовых отношений), уведомить субъектов, при необходимости получить согласия, выполнить обязанность по уведомлению Роскомнадзора (ст. 22), назначить ответственного за организацию обработки.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2026-10-21T08:41:55Z</dcterms:created>
  <dcterms:modified xsi:type="dcterms:W3CDTF">2026-10-21T08:41:55Z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