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61dcdb4868c136ecabcd421d87e96df890a38ba"/>
    <w:p>
      <w:pPr>
        <w:pStyle w:val="Heading1"/>
      </w:pPr>
      <w:r>
        <w:t xml:space="preserve">Регистрация программы для ЭВМ «ЦЕХ» в Роспатенте</w:t>
      </w:r>
    </w:p>
    <w:p>
      <w:pPr>
        <w:pStyle w:val="BlockText"/>
      </w:pPr>
      <w:r>
        <w:rPr>
          <w:bCs/>
          <w:b/>
        </w:rPr>
        <w:t xml:space="preserve">Черновик.</w:t>
      </w:r>
      <w:r>
        <w:t xml:space="preserve"> </w:t>
      </w:r>
      <w:r>
        <w:t xml:space="preserve">Регистрация добровольная (ст. 1262 ГК РФ). Она подтверждает авторство и дату и нужна для включения в реестр российского ПО. Актуальные требования к заявке и размер пошлины проверьте на сайте Роспатента (rospatent.gov.ru) перед подачей. Подача — онлайн через сайт Роспатента или Госуслуги.</w:t>
      </w:r>
    </w:p>
    <w:bookmarkStart w:id="20" w:name="состав-заявки"/>
    <w:p>
      <w:pPr>
        <w:pStyle w:val="Heading2"/>
      </w:pPr>
      <w:r>
        <w:t xml:space="preserve">Состав заявки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Заявление</w:t>
      </w:r>
      <w:r>
        <w:t xml:space="preserve"> </w:t>
      </w:r>
      <w:r>
        <w:t xml:space="preserve">по форме Роспатента. Заполняется на сайте.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Депонируемые материалы</w:t>
      </w:r>
      <w:r>
        <w:t xml:space="preserve"> </w:t>
      </w:r>
      <w:r>
        <w:t xml:space="preserve">— фрагмент исходного текста, по которому можно опознать программу: первые и последние 25 страниц. Готовый файл:</w:t>
      </w:r>
      <w:r>
        <w:t xml:space="preserve"> </w:t>
      </w:r>
      <w:r>
        <w:rPr>
          <w:rStyle w:val="VerbatimChar"/>
        </w:rPr>
        <w:t xml:space="preserve">роспатент/депонируемые_материалы_исходный_текст.pdf</w:t>
      </w:r>
      <w:r>
        <w:t xml:space="preserve">. Пересобирается командой</w:t>
      </w:r>
      <w:r>
        <w:t xml:space="preserve"> </w:t>
      </w:r>
      <w:r>
        <w:rPr>
          <w:rStyle w:val="VerbatimChar"/>
        </w:rPr>
        <w:t xml:space="preserve">npm run legal:listing</w:t>
      </w:r>
      <w:r>
        <w:t xml:space="preserve">, всего 50 листов.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Реферат</w:t>
      </w:r>
      <w:r>
        <w:t xml:space="preserve"> </w:t>
      </w:r>
      <w:r>
        <w:t xml:space="preserve">— ниже.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Документ об уплате пошлины.</w:t>
      </w:r>
    </w:p>
    <w:bookmarkEnd w:id="20"/>
    <w:bookmarkStart w:id="21" w:name="реферат"/>
    <w:p>
      <w:pPr>
        <w:pStyle w:val="Heading2"/>
      </w:pPr>
      <w:r>
        <w:t xml:space="preserve">Реферат</w:t>
      </w:r>
    </w:p>
    <w:p>
      <w:pPr>
        <w:pStyle w:val="FirstParagraph"/>
      </w:pPr>
      <w:r>
        <w:rPr>
          <w:bCs/>
          <w:b/>
        </w:rPr>
        <w:t xml:space="preserve">Название:</w:t>
      </w:r>
      <w:r>
        <w:t xml:space="preserve"> </w:t>
      </w:r>
      <w:r>
        <w:t xml:space="preserve">«ЦЕХ» — система управления предприятием общественного питания.</w:t>
      </w:r>
    </w:p>
    <w:p>
      <w:pPr>
        <w:pStyle w:val="BodyText"/>
      </w:pPr>
      <w:r>
        <w:rPr>
          <w:bCs/>
          <w:b/>
        </w:rPr>
        <w:t xml:space="preserve">Правообладатель / автор:</w:t>
      </w:r>
      <w:r>
        <w:t xml:space="preserve"> </w:t>
      </w:r>
      <w:r>
        <w:t xml:space="preserve">Слепцов Денис Владимирович.</w:t>
      </w:r>
    </w:p>
    <w:p>
      <w:pPr>
        <w:pStyle w:val="BodyText"/>
      </w:pPr>
      <w:r>
        <w:rPr>
          <w:bCs/>
          <w:b/>
        </w:rPr>
        <w:t xml:space="preserve">Аннотация:</w:t>
      </w:r>
      <w:r>
        <w:t xml:space="preserve"> </w:t>
      </w:r>
      <w:r>
        <w:t xml:space="preserve">Программа предназначена для предприятий общественного питания и обеспечивает:</w:t>
      </w:r>
      <w:r>
        <w:t xml:space="preserve"> </w:t>
      </w:r>
      <w:r>
        <w:t xml:space="preserve">- производственный контроль и систему ХАССП: замеры по утверждённым правилам, отклонения, корректирующие действия (CAPA), план ХАССП с деревом решений;</w:t>
      </w:r>
      <w:r>
        <w:t xml:space="preserve"> </w:t>
      </w:r>
      <w:r>
        <w:t xml:space="preserve">- журналы J01–J53 с неизменяемыми записями и подписью за период;</w:t>
      </w:r>
      <w:r>
        <w:t xml:space="preserve"> </w:t>
      </w:r>
      <w:r>
        <w:t xml:space="preserve">- приёмку сырья с проверками, учёт партий и сроков годности (FEFO), технологические карты с себестоимостью и пищевой ценностью;</w:t>
      </w:r>
      <w:r>
        <w:t xml:space="preserve"> </w:t>
      </w:r>
      <w:r>
        <w:t xml:space="preserve">- кассу и учёт продаж со списанием сырья;</w:t>
      </w:r>
      <w:r>
        <w:t xml:space="preserve"> </w:t>
      </w:r>
      <w:r>
        <w:t xml:space="preserve">- нормативный реестр и пакет документов для проверки.</w:t>
      </w:r>
    </w:p>
    <w:p>
      <w:pPr>
        <w:pStyle w:val="BodyText"/>
      </w:pPr>
      <w:r>
        <w:t xml:space="preserve">Работает через веб-браузер с телефона, планшета или компьютера. Данные организаций изолированы, действия пользователей фиксируются в журнале аудита, защищённом цепочкой хешей.</w:t>
      </w:r>
    </w:p>
    <w:p>
      <w:pPr>
        <w:pStyle w:val="BodyText"/>
      </w:pPr>
      <w:r>
        <w:rPr>
          <w:bCs/>
          <w:b/>
        </w:rPr>
        <w:t xml:space="preserve">Тип ЭВМ:</w:t>
      </w:r>
      <w:r>
        <w:t xml:space="preserve"> </w:t>
      </w:r>
      <w:r>
        <w:t xml:space="preserve">IBM PC-совместимый сервер; клиент — любое устройство с современным веб-браузером.</w:t>
      </w:r>
      <w:r>
        <w:t xml:space="preserve"> </w:t>
      </w:r>
      <w:r>
        <w:rPr>
          <w:bCs/>
          <w:b/>
        </w:rPr>
        <w:t xml:space="preserve">Язык:</w:t>
      </w:r>
      <w:r>
        <w:t xml:space="preserve"> </w:t>
      </w:r>
      <w:r>
        <w:t xml:space="preserve">TypeScript, SQL (PostgreSQL), CSS.</w:t>
      </w:r>
      <w:r>
        <w:t xml:space="preserve"> </w:t>
      </w:r>
      <w:r>
        <w:rPr>
          <w:bCs/>
          <w:b/>
        </w:rPr>
        <w:t xml:space="preserve">ОС:</w:t>
      </w:r>
      <w:r>
        <w:t xml:space="preserve"> </w:t>
      </w:r>
      <w:r>
        <w:t xml:space="preserve">Linux (сервер); клиент — любая ОС с браузером.</w:t>
      </w:r>
      <w:r>
        <w:t xml:space="preserve"> </w:t>
      </w:r>
      <w:r>
        <w:rPr>
          <w:bCs/>
          <w:b/>
        </w:rPr>
        <w:t xml:space="preserve">Объём исходного текста:</w:t>
      </w:r>
      <w:r>
        <w:t xml:space="preserve"> </w:t>
      </w:r>
      <w:r>
        <w:t xml:space="preserve">около 963 КБ (248 файлов). Точные значения — в</w:t>
      </w:r>
      <w:r>
        <w:t xml:space="preserve"> </w:t>
      </w:r>
      <w:r>
        <w:rPr>
          <w:rStyle w:val="VerbatimChar"/>
        </w:rPr>
        <w:t xml:space="preserve">роспатент/сведения_для_реферата.json</w:t>
      </w:r>
      <w:r>
        <w:t xml:space="preserve">.</w:t>
      </w:r>
    </w:p>
    <w:bookmarkEnd w:id="21"/>
    <w:bookmarkStart w:id="22" w:name="полезно-знать"/>
    <w:p>
      <w:pPr>
        <w:pStyle w:val="Heading2"/>
      </w:pPr>
      <w:r>
        <w:t xml:space="preserve">Полезно знать</w:t>
      </w:r>
    </w:p>
    <w:p>
      <w:pPr>
        <w:numPr>
          <w:ilvl w:val="0"/>
          <w:numId w:val="1002"/>
        </w:numPr>
        <w:pStyle w:val="Compact"/>
      </w:pPr>
      <w:r>
        <w:t xml:space="preserve">Справочник продуктов и архив ТТК — ваши данные. При желании их можно зарегистрировать отдельно как</w:t>
      </w:r>
      <w:r>
        <w:t xml:space="preserve"> </w:t>
      </w:r>
      <w:r>
        <w:rPr>
          <w:bCs/>
          <w:b/>
        </w:rPr>
        <w:t xml:space="preserve">базу данных</w:t>
      </w:r>
      <w:r>
        <w:t xml:space="preserve"> </w:t>
      </w:r>
      <w:r>
        <w:t xml:space="preserve">(ст. 1260 ГК РФ), это та же процедура.</w:t>
      </w:r>
    </w:p>
    <w:p>
      <w:pPr>
        <w:numPr>
          <w:ilvl w:val="0"/>
          <w:numId w:val="1002"/>
        </w:numPr>
        <w:pStyle w:val="Compact"/>
      </w:pPr>
      <w:r>
        <w:t xml:space="preserve">После регистрации номер свидетельства указывают в договоре-оферте и в заявке в реестр российского ПО (reestr.digital.gov.ru).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2026-10-21T08:41:55Z</dcterms:created>
  <dcterms:modified xsi:type="dcterms:W3CDTF">2026-10-21T08:41:55Z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