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Departmental Reorg Payroll Rollup Tracker</w:t>
      </w:r>
    </w:p>
    <w:p>
      <w:pPr>
        <w:jc w:val="center"/>
      </w:pPr>
      <w:r>
        <w:rPr>
          <w:b/>
          <w:sz w:val="24"/>
        </w:rPr>
        <w:t>Cisco AI-Assisted Coding Interview — Documentation Pack</w:t>
      </w:r>
    </w:p>
    <w:p>
      <w:pPr>
        <w:jc w:val="center"/>
      </w:pPr>
      <w:r>
        <w:rPr>
          <w:i/>
        </w:rPr>
        <w:t>Project overview • Implementation plan • Design • AI usage • Testing • Selected prompts</w:t>
      </w:r>
    </w:p>
    <w:p>
      <w:r>
        <w:br w:type="page"/>
      </w:r>
    </w:p>
    <w:p>
      <w:pPr>
        <w:pStyle w:val="Heading1"/>
      </w:pPr>
      <w:r>
        <w:t>1. Project Overview</w:t>
      </w:r>
    </w:p>
    <w:p>
      <w:r>
        <w:t>A local tool that takes flat employee records, builds a valid reporting hierarchy, calculates team-level payroll rollups, and lets an administrator safely preview or apply reporting-line changes.</w:t>
      </w:r>
    </w:p>
    <w:p>
      <w:pPr>
        <w:pStyle w:val="Heading2"/>
      </w:pPr>
      <w:r>
        <w:t>Problem</w:t>
      </w:r>
    </w:p>
    <w:p>
      <w:r>
        <w:t>The input is a flat list of employees, but the questions are hierarchical: who reports under whom, what each manager's full team costs, and what changes after a reorganisation. A reporting-line change can also create invalid states such as a management cycle or an attempt to move the department head.</w:t>
      </w:r>
    </w:p>
    <w:p>
      <w:pPr>
        <w:pStyle w:val="Heading2"/>
      </w:pPr>
      <w:r>
        <w:t>What the application does</w:t>
      </w:r>
    </w:p>
    <w:p>
      <w:pPr>
        <w:pStyle w:val="ListBullet"/>
        <w:spacing w:after="30"/>
      </w:pPr>
      <w:r>
        <w:t>Validates employee records in a fixed first-error order.</w:t>
      </w:r>
    </w:p>
    <w:p>
      <w:pPr>
        <w:pStyle w:val="ListBullet"/>
        <w:spacing w:after="30"/>
      </w:pPr>
      <w:r>
        <w:t>Builds one reporting tree while preserving source order.</w:t>
      </w:r>
    </w:p>
    <w:p>
      <w:pPr>
        <w:pStyle w:val="ListBullet"/>
        <w:spacing w:after="30"/>
      </w:pPr>
      <w:r>
        <w:t>Calculates complete-team headcount and monthly payroll for every employee.</w:t>
      </w:r>
    </w:p>
    <w:p>
      <w:pPr>
        <w:pStyle w:val="ListBullet"/>
        <w:spacing w:after="30"/>
      </w:pPr>
      <w:r>
        <w:t>Previews and applies reporting-line changes.</w:t>
      </w:r>
    </w:p>
    <w:p>
      <w:pPr>
        <w:pStyle w:val="ListBullet"/>
        <w:spacing w:after="30"/>
      </w:pPr>
      <w:r>
        <w:t>Rejects invalid transfers without changing current state.</w:t>
      </w:r>
    </w:p>
    <w:p>
      <w:pPr>
        <w:pStyle w:val="ListBullet"/>
        <w:spacing w:after="30"/>
      </w:pPr>
      <w:r>
        <w:t>Shows the moved subtree and only rollups whose values actually changed.</w:t>
      </w:r>
    </w:p>
    <w:p>
      <w:pPr>
        <w:pStyle w:val="Heading2"/>
      </w:pPr>
      <w:r>
        <w:t>Main demo</w:t>
      </w:r>
    </w:p>
    <w:p>
      <w:r>
        <w:t>The 12-person scenario has INR 821,000 total monthly payroll. The valid move is LEAD_A -&gt; MGR_C; the invalid move is MGR_A -&gt; E3, which creates a cycle.</w:t>
      </w:r>
    </w:p>
    <w:p>
      <w:pPr>
        <w:pStyle w:val="Heading2"/>
      </w:pPr>
      <w:r>
        <w:t>Architecture</w:t>
      </w:r>
    </w:p>
    <w:p>
      <w:pPr>
        <w:spacing w:before="40" w:after="100"/>
        <w:ind w:left="259" w:right="259"/>
        <w:shd w:fill="F3F5F7"/>
      </w:pPr>
      <w:r>
        <w:rPr>
          <w:rFonts w:ascii="Consolas" w:hAnsi="Consolas"/>
          <w:sz w:val="16"/>
        </w:rPr>
        <w:t>React + TypeScript</w:t>
        <w:br/>
        <w:t xml:space="preserve">        |</w:t>
        <w:br/>
        <w:t xml:space="preserve">        v</w:t>
        <w:br/>
        <w:t>FastAPI routes</w:t>
        <w:br/>
        <w:t xml:space="preserve">        |</w:t>
        <w:br/>
        <w:t xml:space="preserve">        v</w:t>
        <w:br/>
        <w:t>DepartmentService</w:t>
        <w:br/>
        <w:t xml:space="preserve">        |</w:t>
        <w:br/>
        <w:t xml:space="preserve">        +--&gt; validation</w:t>
        <w:br/>
        <w:t xml:space="preserve">        +--&gt; tree construction</w:t>
        <w:br/>
        <w:t xml:space="preserve">        +--&gt; rollups</w:t>
        <w:br/>
        <w:t xml:space="preserve">        +--&gt; transfer rules</w:t>
        <w:br/>
        <w:t xml:space="preserve">        |</w:t>
        <w:br/>
        <w:t xml:space="preserve">        v</w:t>
        <w:br/>
        <w:t>in-memory employee state</w:t>
      </w:r>
    </w:p>
    <w:tbl>
      <w:tblPr>
        <w:tblStyle w:val="TableGrid"/>
        <w:tblW w:type="auto" w:w="0"/>
        <w:jc w:val="center"/>
        <w:tblLook w:firstColumn="1" w:firstRow="1" w:lastColumn="0" w:lastRow="0" w:noHBand="0" w:noVBand="1" w:val="04A0"/>
      </w:tblPr>
      <w:tblGrid>
        <w:gridCol w:w="5083"/>
        <w:gridCol w:w="5083"/>
      </w:tblGrid>
      <w:tr>
        <w:tc>
          <w:tcPr>
            <w:tcW w:type="dxa" w:w="5083"/>
            <w:shd w:fill="E9EEF5"/>
            <w:vAlign w:val="center"/>
          </w:tcPr>
          <w:p>
            <w:pPr>
              <w:spacing w:after="20"/>
            </w:pPr>
            <w:r>
              <w:rPr>
                <w:b/>
                <w:sz w:val="17"/>
              </w:rPr>
              <w:t>Area</w:t>
            </w:r>
          </w:p>
        </w:tc>
        <w:tc>
          <w:tcPr>
            <w:tcW w:type="dxa" w:w="5083"/>
            <w:shd w:fill="E9EEF5"/>
            <w:vAlign w:val="center"/>
          </w:tcPr>
          <w:p>
            <w:pPr>
              <w:spacing w:after="20"/>
            </w:pPr>
            <w:r>
              <w:rPr>
                <w:b/>
                <w:sz w:val="17"/>
              </w:rPr>
              <w:t>Technology</w:t>
            </w:r>
          </w:p>
        </w:tc>
      </w:tr>
      <w:tr>
        <w:tc>
          <w:tcPr>
            <w:tcW w:type="dxa" w:w="5083"/>
            <w:vAlign w:val="center"/>
          </w:tcPr>
          <w:p>
            <w:pPr>
              <w:spacing w:after="20"/>
            </w:pPr>
            <w:r>
              <w:rPr>
                <w:sz w:val="17"/>
              </w:rPr>
              <w:t>Frontend</w:t>
            </w:r>
          </w:p>
        </w:tc>
        <w:tc>
          <w:tcPr>
            <w:tcW w:type="dxa" w:w="5083"/>
            <w:vAlign w:val="center"/>
          </w:tcPr>
          <w:p>
            <w:pPr>
              <w:spacing w:after="20"/>
            </w:pPr>
            <w:r>
              <w:rPr>
                <w:sz w:val="17"/>
              </w:rPr>
              <w:t>React, TypeScript, Vite</w:t>
            </w:r>
          </w:p>
        </w:tc>
      </w:tr>
      <w:tr>
        <w:tc>
          <w:tcPr>
            <w:tcW w:type="dxa" w:w="5083"/>
            <w:vAlign w:val="center"/>
          </w:tcPr>
          <w:p>
            <w:pPr>
              <w:spacing w:after="20"/>
            </w:pPr>
            <w:r>
              <w:rPr>
                <w:sz w:val="17"/>
              </w:rPr>
              <w:t>Backend</w:t>
            </w:r>
          </w:p>
        </w:tc>
        <w:tc>
          <w:tcPr>
            <w:tcW w:type="dxa" w:w="5083"/>
            <w:vAlign w:val="center"/>
          </w:tcPr>
          <w:p>
            <w:pPr>
              <w:spacing w:after="20"/>
            </w:pPr>
            <w:r>
              <w:rPr>
                <w:sz w:val="17"/>
              </w:rPr>
              <w:t>FastAPI, Python, Pydantic</w:t>
            </w:r>
          </w:p>
        </w:tc>
      </w:tr>
      <w:tr>
        <w:tc>
          <w:tcPr>
            <w:tcW w:type="dxa" w:w="5083"/>
            <w:vAlign w:val="center"/>
          </w:tcPr>
          <w:p>
            <w:pPr>
              <w:spacing w:after="20"/>
            </w:pPr>
            <w:r>
              <w:rPr>
                <w:sz w:val="17"/>
              </w:rPr>
              <w:t>Domain model</w:t>
            </w:r>
          </w:p>
        </w:tc>
        <w:tc>
          <w:tcPr>
            <w:tcW w:type="dxa" w:w="5083"/>
            <w:vAlign w:val="center"/>
          </w:tcPr>
          <w:p>
            <w:pPr>
              <w:spacing w:after="20"/>
            </w:pPr>
            <w:r>
              <w:rPr>
                <w:sz w:val="17"/>
              </w:rPr>
              <w:t>Python dataclasses</w:t>
            </w:r>
          </w:p>
        </w:tc>
      </w:tr>
      <w:tr>
        <w:tc>
          <w:tcPr>
            <w:tcW w:type="dxa" w:w="5083"/>
            <w:vAlign w:val="center"/>
          </w:tcPr>
          <w:p>
            <w:pPr>
              <w:spacing w:after="20"/>
            </w:pPr>
            <w:r>
              <w:rPr>
                <w:sz w:val="17"/>
              </w:rPr>
              <w:t>Testing</w:t>
            </w:r>
          </w:p>
        </w:tc>
        <w:tc>
          <w:tcPr>
            <w:tcW w:type="dxa" w:w="5083"/>
            <w:vAlign w:val="center"/>
          </w:tcPr>
          <w:p>
            <w:pPr>
              <w:spacing w:after="20"/>
            </w:pPr>
            <w:r>
              <w:rPr>
                <w:sz w:val="17"/>
              </w:rPr>
              <w:t>pytest, Vitest, Testing Library</w:t>
            </w:r>
          </w:p>
        </w:tc>
      </w:tr>
      <w:tr>
        <w:tc>
          <w:tcPr>
            <w:tcW w:type="dxa" w:w="5083"/>
            <w:vAlign w:val="center"/>
          </w:tcPr>
          <w:p>
            <w:pPr>
              <w:spacing w:after="20"/>
            </w:pPr>
            <w:r>
              <w:rPr>
                <w:sz w:val="17"/>
              </w:rPr>
              <w:t>Persistence</w:t>
            </w:r>
          </w:p>
        </w:tc>
        <w:tc>
          <w:tcPr>
            <w:tcW w:type="dxa" w:w="5083"/>
            <w:vAlign w:val="center"/>
          </w:tcPr>
          <w:p>
            <w:pPr>
              <w:spacing w:after="20"/>
            </w:pPr>
            <w:r>
              <w:rPr>
                <w:sz w:val="17"/>
              </w:rPr>
              <w:t>In-memory for local interview scope</w:t>
            </w:r>
          </w:p>
        </w:tc>
      </w:tr>
    </w:tbl>
    <w:p>
      <w:r>
        <w:br w:type="page"/>
      </w:r>
    </w:p>
    <w:p>
      <w:pPr>
        <w:pStyle w:val="Heading1"/>
      </w:pPr>
      <w:r>
        <w:t>2. Implementation Plan</w:t>
      </w:r>
    </w:p>
    <w:p>
      <w:pPr>
        <w:pStyle w:val="Heading2"/>
      </w:pPr>
      <w:r>
        <w:t>1. Define the domain rules</w:t>
      </w:r>
    </w:p>
    <w:p>
      <w:r>
        <w:rPr>
          <w:b/>
        </w:rPr>
        <w:t xml:space="preserve">Goal: </w:t>
      </w:r>
      <w:r>
        <w:t>Make a flat employee list safe to use as one reporting hierarchy.</w:t>
      </w:r>
    </w:p>
    <w:p>
      <w:pPr>
        <w:pStyle w:val="ListBullet"/>
        <w:spacing w:after="30"/>
      </w:pPr>
      <w:r>
        <w:t>Model employee records and domain error codes.</w:t>
      </w:r>
    </w:p>
    <w:p>
      <w:pPr>
        <w:pStyle w:val="ListBullet"/>
        <w:spacing w:after="30"/>
      </w:pPr>
      <w:r>
        <w:t>Validate fields, duplicate IDs, root count, manager references, cycles, and connectivity in a fixed order.</w:t>
      </w:r>
    </w:p>
    <w:p>
      <w:pPr>
        <w:pStyle w:val="ListBullet"/>
        <w:spacing w:after="30"/>
      </w:pPr>
      <w:r>
        <w:t>Preserve source order while building direct-report lists.</w:t>
      </w:r>
    </w:p>
    <w:p>
      <w:r>
        <w:rPr>
          <w:b/>
        </w:rPr>
        <w:t xml:space="preserve">Checkpoint: </w:t>
      </w:r>
      <w:r>
        <w:t>Valid and invalid datasets return the expected first result.</w:t>
      </w:r>
    </w:p>
    <w:p>
      <w:pPr>
        <w:pStyle w:val="Heading2"/>
      </w:pPr>
      <w:r>
        <w:t>2. Build hierarchy and rollups</w:t>
      </w:r>
    </w:p>
    <w:p>
      <w:r>
        <w:rPr>
          <w:b/>
        </w:rPr>
        <w:t xml:space="preserve">Goal: </w:t>
      </w:r>
      <w:r>
        <w:t>Derive the reporting tree and complete-team totals from validated records.</w:t>
      </w:r>
    </w:p>
    <w:p>
      <w:pPr>
        <w:pStyle w:val="ListBullet"/>
        <w:spacing w:after="30"/>
      </w:pPr>
      <w:r>
        <w:t>Build the tree from the flat canonical list.</w:t>
      </w:r>
    </w:p>
    <w:p>
      <w:pPr>
        <w:pStyle w:val="ListBullet"/>
        <w:spacing w:after="30"/>
      </w:pPr>
      <w:r>
        <w:t>Calculate subtree headcount and payroll using postorder traversal.</w:t>
      </w:r>
    </w:p>
    <w:p>
      <w:pPr>
        <w:pStyle w:val="ListBullet"/>
        <w:spacing w:after="30"/>
      </w:pPr>
      <w:r>
        <w:t>Check root totals against source records.</w:t>
      </w:r>
    </w:p>
    <w:p>
      <w:pPr>
        <w:pStyle w:val="ListBullet"/>
        <w:spacing w:after="30"/>
      </w:pPr>
      <w:r>
        <w:t>Keep expected demo values outside production code.</w:t>
      </w:r>
    </w:p>
    <w:p>
      <w:r>
        <w:rPr>
          <w:b/>
        </w:rPr>
        <w:t xml:space="preserve">Checkpoint: </w:t>
      </w:r>
      <w:r>
        <w:t>The 12-person dataset produces 12 employees and INR 821,000 at the root.</w:t>
      </w:r>
    </w:p>
    <w:p>
      <w:pPr>
        <w:pStyle w:val="Heading2"/>
      </w:pPr>
      <w:r>
        <w:t>3. Add safe transfer logic</w:t>
      </w:r>
    </w:p>
    <w:p>
      <w:r>
        <w:rPr>
          <w:b/>
        </w:rPr>
        <w:t xml:space="preserve">Goal: </w:t>
      </w:r>
      <w:r>
        <w:t>Apply a reporting-line change without risking partial state updates.</w:t>
      </w:r>
    </w:p>
    <w:p>
      <w:pPr>
        <w:pStyle w:val="ListBullet"/>
        <w:spacing w:after="30"/>
      </w:pPr>
      <w:r>
        <w:t>Validate transfer rules in fixed order.</w:t>
      </w:r>
    </w:p>
    <w:p>
      <w:pPr>
        <w:pStyle w:val="ListBullet"/>
        <w:spacing w:after="30"/>
      </w:pPr>
      <w:r>
        <w:t>Create a candidate list instead of mutating current state.</w:t>
      </w:r>
    </w:p>
    <w:p>
      <w:pPr>
        <w:pStyle w:val="ListBullet"/>
        <w:spacing w:after="30"/>
      </w:pPr>
      <w:r>
        <w:t>Rebuild and recompute the candidate.</w:t>
      </w:r>
    </w:p>
    <w:p>
      <w:pPr>
        <w:pStyle w:val="ListBullet"/>
        <w:spacing w:after="30"/>
      </w:pPr>
      <w:r>
        <w:t>Compare before/after rollups and commit only after all checks succeed.</w:t>
      </w:r>
    </w:p>
    <w:p>
      <w:r>
        <w:rPr>
          <w:b/>
        </w:rPr>
        <w:t xml:space="preserve">Checkpoint: </w:t>
      </w:r>
      <w:r>
        <w:t>LEAD_A -&gt; MGR_C succeeds; cycle/root moves reject without changing state.</w:t>
      </w:r>
    </w:p>
    <w:p>
      <w:pPr>
        <w:pStyle w:val="Heading2"/>
      </w:pPr>
      <w:r>
        <w:t>4. Add API and UI</w:t>
      </w:r>
    </w:p>
    <w:p>
      <w:r>
        <w:rPr>
          <w:b/>
        </w:rPr>
        <w:t xml:space="preserve">Goal: </w:t>
      </w:r>
      <w:r>
        <w:t>Make the domain workflow easy to inspect and demonstrate.</w:t>
      </w:r>
    </w:p>
    <w:p>
      <w:pPr>
        <w:pStyle w:val="ListBullet"/>
        <w:spacing w:after="30"/>
      </w:pPr>
      <w:r>
        <w:t>Expose thin FastAPI routes around DepartmentService.</w:t>
      </w:r>
    </w:p>
    <w:p>
      <w:pPr>
        <w:pStyle w:val="ListBullet"/>
        <w:spacing w:after="30"/>
      </w:pPr>
      <w:r>
        <w:t>Keep business validation out of route handlers and React.</w:t>
      </w:r>
    </w:p>
    <w:p>
      <w:pPr>
        <w:pStyle w:val="ListBullet"/>
        <w:spacing w:after="30"/>
      </w:pPr>
      <w:r>
        <w:t>Build the browser workflow for load, inspect, preview, apply, and reset.</w:t>
      </w:r>
    </w:p>
    <w:p>
      <w:pPr>
        <w:pStyle w:val="ListBullet"/>
        <w:spacing w:after="30"/>
      </w:pPr>
      <w:r>
        <w:t>Keep the organisation tree presentation-only.</w:t>
      </w:r>
    </w:p>
    <w:p>
      <w:r>
        <w:rPr>
          <w:b/>
        </w:rPr>
        <w:t xml:space="preserve">Checkpoint: </w:t>
      </w:r>
      <w:r>
        <w:t>The complete required flow works from the browser.</w:t>
      </w:r>
    </w:p>
    <w:p>
      <w:pPr>
        <w:pStyle w:val="Heading2"/>
      </w:pPr>
      <w:r>
        <w:t>5. Verify and tighten</w:t>
      </w:r>
    </w:p>
    <w:p>
      <w:r>
        <w:rPr>
          <w:b/>
        </w:rPr>
        <w:t xml:space="preserve">Goal: </w:t>
      </w:r>
      <w:r>
        <w:t>Protect the contracts most likely to break during implementation or a live change.</w:t>
      </w:r>
    </w:p>
    <w:p>
      <w:pPr>
        <w:pStyle w:val="ListBullet"/>
        <w:spacing w:after="30"/>
      </w:pPr>
      <w:r>
        <w:t>Test precedence, source order, rollups, cycle prevention, atomic rejection, reset, and API behaviour.</w:t>
      </w:r>
    </w:p>
    <w:p>
      <w:pPr>
        <w:pStyle w:val="ListBullet"/>
        <w:spacing w:after="30"/>
      </w:pPr>
      <w:r>
        <w:t>Add focused frontend tests.</w:t>
      </w:r>
    </w:p>
    <w:p>
      <w:pPr>
        <w:pStyle w:val="ListBullet"/>
        <w:spacing w:after="30"/>
      </w:pPr>
      <w:r>
        <w:t>Run a live browser walkthrough in addition to automated tests.</w:t>
      </w:r>
    </w:p>
    <w:p>
      <w:r>
        <w:rPr>
          <w:b/>
        </w:rPr>
        <w:t xml:space="preserve">Checkpoint: </w:t>
      </w:r>
      <w:r>
        <w:t>108 backend + 38 frontend tests pass; build succeeds; demo matches expected values.</w:t>
      </w:r>
    </w:p>
    <w:p>
      <w:pPr>
        <w:pStyle w:val="Heading2"/>
      </w:pPr>
      <w:r>
        <w:t>Changes from the original plan</w:t>
      </w:r>
    </w:p>
    <w:p>
      <w:r>
        <w:rPr>
          <w:b/>
        </w:rPr>
        <w:t xml:space="preserve">Transfer preview and scenario selection: </w:t>
      </w:r>
      <w:r>
        <w:t>Added after the core flow worked so validation and before/after impact were easier to demonstrate.</w:t>
      </w:r>
    </w:p>
    <w:p>
      <w:r>
        <w:rPr>
          <w:b/>
        </w:rPr>
        <w:t xml:space="preserve">Interactive organisation tree: </w:t>
      </w:r>
      <w:r>
        <w:t>Expanded from a simple display, while keeping hierarchy and payroll rules on the backend.</w:t>
      </w:r>
    </w:p>
    <w:p>
      <w:r>
        <w:rPr>
          <w:b/>
        </w:rPr>
        <w:t xml:space="preserve">Add/delete employee operations: </w:t>
      </w:r>
      <w:r>
        <w:t>Added after the required workflow was complete and implemented using the same candidate-validation-recompute-commit pattern.</w:t>
      </w:r>
    </w:p>
    <w:p>
      <w:r>
        <w:br w:type="page"/>
      </w:r>
    </w:p>
    <w:p>
      <w:pPr>
        <w:pStyle w:val="Heading1"/>
      </w:pPr>
      <w:r>
        <w:t>3. Design Summary</w:t>
      </w:r>
    </w:p>
    <w:p>
      <w:pPr>
        <w:pStyle w:val="Heading2"/>
      </w:pPr>
      <w:r>
        <w:t>Flat records are canonical</w:t>
      </w:r>
    </w:p>
    <w:p>
      <w:r>
        <w:t>A transfer changes one manager_id. Keeping one ordered flat list avoids synchronising a mutable list and mutable tree. Tree and rollups are derived. At n &lt;= 30, rebuilding is cheap and easier to verify.</w:t>
      </w:r>
    </w:p>
    <w:p>
      <w:pPr>
        <w:pStyle w:val="Heading2"/>
      </w:pPr>
      <w:r>
        <w:t>Source order is preserved</w:t>
      </w:r>
    </w:p>
    <w:p>
      <w:r>
        <w:t>Source order drives roster order, sibling order, and changed_rollup_ids. Domain code does not resort records.</w:t>
      </w:r>
    </w:p>
    <w:p>
      <w:pPr>
        <w:pStyle w:val="Heading2"/>
      </w:pPr>
      <w:r>
        <w:t>Backend owns business rules</w:t>
      </w:r>
    </w:p>
    <w:p>
      <w:r>
        <w:t>Validation, tree construction, rollups, cycle checks, and transfer validity live in pure Python. FastAPI is transport; React is presentation and interaction.</w:t>
      </w:r>
    </w:p>
    <w:p>
      <w:pPr>
        <w:pStyle w:val="Heading2"/>
      </w:pPr>
      <w:r>
        <w:t>Candidate before commit</w:t>
      </w:r>
    </w:p>
    <w:p>
      <w:r>
        <w:t>The service validates the request, creates a candidate copy, changes one manager_id, rebuilds/recomputes, checks invariants, and commits only on success. Failure requires no rollback.</w:t>
      </w:r>
    </w:p>
    <w:p>
      <w:pPr>
        <w:pStyle w:val="Heading2"/>
      </w:pPr>
      <w:r>
        <w:t>Full recomputation</w:t>
      </w:r>
    </w:p>
    <w:p>
      <w:r>
        <w:t>After a valid transfer, all rollups are recomputed. Incremental ancestor updates would add bookkeeping for little benefit at the required size.</w:t>
      </w:r>
    </w:p>
    <w:p>
      <w:pPr>
        <w:pStyle w:val="Heading2"/>
      </w:pPr>
      <w:r>
        <w:t>Changed rollups use actual values</w:t>
      </w:r>
    </w:p>
    <w:p>
      <w:r>
        <w:t>Before/after values are compared directly. This excludes a shared ancestor such as HOD when its totals do not change.</w:t>
      </w:r>
    </w:p>
    <w:p>
      <w:pPr>
        <w:pStyle w:val="Heading2"/>
      </w:pPr>
      <w:r>
        <w:t>In-memory state is deliberate</w:t>
      </w:r>
    </w:p>
    <w:p>
      <w:r>
        <w:t>This is a local single-session interview app. Persistence, user isolation, concurrency control, and audit history are production concerns outside this scope.</w:t>
      </w:r>
    </w:p>
    <w:p>
      <w:r>
        <w:br w:type="page"/>
      </w:r>
    </w:p>
    <w:p>
      <w:pPr>
        <w:pStyle w:val="Heading1"/>
      </w:pPr>
      <w:r>
        <w:t>4. AI Usage</w:t>
      </w:r>
    </w:p>
    <w:p>
      <w:r>
        <w:t>I used AI in short, bounded tasks rather than asking for the complete project in one shot. The usual pattern was: understand one requirement -&gt; give exact constraints -&gt; inspect the change -&gt; run focused tests -&gt; integrate -&gt; verify the complete flow.</w:t>
      </w:r>
    </w:p>
    <w:p>
      <w:pPr>
        <w:pStyle w:val="Heading2"/>
      </w:pPr>
      <w:r>
        <w:t>Validation pipeline</w:t>
      </w:r>
    </w:p>
    <w:p>
      <w:r>
        <w:rPr>
          <w:b/>
        </w:rPr>
        <w:t xml:space="preserve">Prompt: </w:t>
      </w:r>
      <w:r>
        <w:rPr>
          <w:i/>
        </w:rPr>
        <w:t>Implement the pure six-pass department-load validation pipeline test-first, preserving pass and source order, frozen `Employee`, and avoiding `sorted()` in domain and service code.</w:t>
      </w:r>
    </w:p>
    <w:p>
      <w:r>
        <w:rPr>
          <w:b/>
        </w:rPr>
        <w:t xml:space="preserve">Decision: </w:t>
      </w:r>
      <w:r>
        <w:t>I kept the fixed-pass approach because deterministic first-error behaviour is part of the contract. The domain Employee stays a frozen dataclass so these rules remain explicit and testable.</w:t>
      </w:r>
    </w:p>
    <w:p>
      <w:pPr>
        <w:pStyle w:val="Heading2"/>
      </w:pPr>
      <w:r>
        <w:t>Candidate-before-commit</w:t>
      </w:r>
    </w:p>
    <w:p>
      <w:r>
        <w:rPr>
          <w:b/>
        </w:rPr>
        <w:t xml:space="preserve">Prompt: </w:t>
      </w:r>
      <w:r>
        <w:rPr>
          <w:i/>
        </w:rPr>
        <w:t>Implement pure transfer validation, immutable candidate copying, and rollup-impact detection with exact source-order semantics.</w:t>
      </w:r>
    </w:p>
    <w:p>
      <w:r>
        <w:rPr>
          <w:b/>
        </w:rPr>
        <w:t xml:space="preserve">Decision: </w:t>
      </w:r>
      <w:r>
        <w:t>I used candidate-before-commit instead of mutation plus rollback. Rejected work never touches authoritative state.</w:t>
      </w:r>
    </w:p>
    <w:p>
      <w:pPr>
        <w:pStyle w:val="Heading2"/>
      </w:pPr>
      <w:r>
        <w:t>Exact changed-rollup calculation</w:t>
      </w:r>
    </w:p>
    <w:p>
      <w:r>
        <w:rPr>
          <w:b/>
        </w:rPr>
        <w:t xml:space="preserve">Prompt: </w:t>
      </w:r>
      <w:r>
        <w:rPr>
          <w:i/>
        </w:rPr>
        <w:t>Implement pure transfer validation, immutable candidate copying, and rollup-impact detection with exact source-order semantics.</w:t>
      </w:r>
    </w:p>
    <w:p>
      <w:r>
        <w:rPr>
          <w:b/>
        </w:rPr>
        <w:t xml:space="preserve">Decision: </w:t>
      </w:r>
      <w:r>
        <w:t>I compared direct before/after rollup values rather than ancestor paths. That correctly excludes HOD in the main cross-branch move.</w:t>
      </w:r>
    </w:p>
    <w:p>
      <w:pPr>
        <w:pStyle w:val="Heading2"/>
      </w:pPr>
      <w:r>
        <w:t>Overruled: mutable tree as primary state</w:t>
      </w:r>
    </w:p>
    <w:p>
      <w:r>
        <w:rPr>
          <w:b/>
        </w:rPr>
        <w:t xml:space="preserve">Prompt: </w:t>
      </w:r>
      <w:r>
        <w:rPr>
          <w:i/>
        </w:rPr>
        <w:t>Should I keep a nested organisation tree in state and update it directly on transfers, or keep the flat employee records canonical? Review both approaches for this problem.</w:t>
      </w:r>
    </w:p>
    <w:p>
      <w:r>
        <w:rPr>
          <w:b/>
        </w:rPr>
        <w:t xml:space="preserve">Decision: </w:t>
      </w:r>
      <w:r>
        <w:t>AI initially favored direct tree mutation. I rejected it because source order and reset are based on the flat records, and keeping both representations synchronized creates avoidable state bugs. I kept the ordered flat list canonical and derive the tree.</w:t>
      </w:r>
    </w:p>
    <w:p>
      <w:pPr>
        <w:pStyle w:val="Heading2"/>
      </w:pPr>
      <w:r>
        <w:t>Overruled: incremental ancestor rollup updates</w:t>
      </w:r>
    </w:p>
    <w:p>
      <w:r>
        <w:rPr>
          <w:b/>
        </w:rPr>
        <w:t xml:space="preserve">Prompt: </w:t>
      </w:r>
      <w:r>
        <w:rPr>
          <w:i/>
        </w:rPr>
        <w:t>Optimize transfer impact by updating only the old-manager and new-manager ancestor chains instead of recalculating every rollup. Keep the exact changed-rollup output correct.</w:t>
      </w:r>
    </w:p>
    <w:p>
      <w:r>
        <w:rPr>
          <w:b/>
        </w:rPr>
        <w:t xml:space="preserve">Decision: </w:t>
      </w:r>
      <w:r>
        <w:t>I rejected the generated incremental patch. The paths can overlap at HOD, which makes exact impact bookkeeping more subtle. At n &lt;= 30, full recomputation plus before/after comparison is simpler and safer.</w:t>
      </w:r>
    </w:p>
    <w:p>
      <w:pPr>
        <w:pStyle w:val="Heading2"/>
      </w:pPr>
      <w:r>
        <w:t>Presentation-only organisation tree</w:t>
      </w:r>
    </w:p>
    <w:p>
      <w:r>
        <w:rPr>
          <w:b/>
        </w:rPr>
        <w:t xml:space="preserve">Prompt: </w:t>
      </w:r>
      <w:r>
        <w:rPr>
          <w:i/>
        </w:rPr>
        <w:t>Add a pure, test-first SVG organisation chart with deterministic source-order layout, keyboard selection, and transfer-impact markers.</w:t>
      </w:r>
    </w:p>
    <w:p>
      <w:r>
        <w:rPr>
          <w:b/>
        </w:rPr>
        <w:t xml:space="preserve">Decision: </w:t>
      </w:r>
      <w:r>
        <w:t>I kept hierarchy and payroll on the backend. React calculates presentation coordinates only; drag actions are proposals that the backend validates.</w:t>
      </w:r>
    </w:p>
    <w:p>
      <w:pPr>
        <w:pStyle w:val="Heading2"/>
      </w:pPr>
      <w:r>
        <w:t>Frontend regression strategy</w:t>
      </w:r>
    </w:p>
    <w:p>
      <w:r>
        <w:rPr>
          <w:b/>
        </w:rPr>
        <w:t xml:space="preserve">Prompt: </w:t>
      </w:r>
      <w:r>
        <w:rPr>
          <w:i/>
        </w:rPr>
        <w:t>Add focused frontend regression coverage for layout invariants, employee selection, transfer rejection retention, invalid-load clearing, reset semantics, and every API-client route contract.</w:t>
      </w:r>
    </w:p>
    <w:p>
      <w:r>
        <w:rPr>
          <w:b/>
        </w:rPr>
        <w:t xml:space="preserve">Decision: </w:t>
      </w:r>
      <w:r>
        <w:t>I used AI to surface high-value regression cases, not to maximize test count. Visual behaviour was still checked in a live browser.</w:t>
      </w:r>
    </w:p>
    <w:p>
      <w:pPr>
        <w:pStyle w:val="Heading2"/>
      </w:pPr>
      <w:r>
        <w:t>Bug found during live verification</w:t>
      </w:r>
    </w:p>
    <w:p>
      <w:r>
        <w:t>After the frontend revamp, automated tests were green but the organisation tree was not visible in the running app. The component existed in the DOM. AI helped narrow the issue to the parent flex-height chain; the chart wrapper was missing the rule needed by the canvas. I fixed the wrapper CSS rather than changing tree logic, then reran tests, build, lint, and the browser flow. This was the clearest example of why I did not treat green generated tests as proof that the full feature worked.</w:t>
      </w:r>
    </w:p>
    <w:p>
      <w:pPr>
        <w:pStyle w:val="Heading2"/>
      </w:pPr>
      <w:r>
        <w:t>How I used AI overall</w:t>
      </w:r>
    </w:p>
    <w:p>
      <w:r>
        <w:t>AI accelerated decomposition, implementation drafts, test-case discovery, and debugging. I tried to keep prompts narrow and explicit. I accepted suggestions only after I understood the change and had a concrete way to verify it.</w:t>
      </w:r>
    </w:p>
    <w:p>
      <w:r>
        <w:br w:type="page"/>
      </w:r>
    </w:p>
    <w:p>
      <w:pPr>
        <w:pStyle w:val="Heading1"/>
      </w:pPr>
      <w:r>
        <w:t>5. Testing</w:t>
      </w:r>
    </w:p>
    <w:p>
      <w:r>
        <w:t>Most correctness lives in the backend domain layer, so that is where most coverage sits. Frontend tests focus on API integration and important interaction states, with a live browser walkthrough for visual behaviour.</w:t>
      </w:r>
    </w:p>
    <w:tbl>
      <w:tblPr>
        <w:tblStyle w:val="TableGrid"/>
        <w:tblW w:type="auto" w:w="0"/>
        <w:jc w:val="center"/>
        <w:tblLook w:firstColumn="1" w:firstRow="1" w:lastColumn="0" w:lastRow="0" w:noHBand="0" w:noVBand="1" w:val="04A0"/>
      </w:tblPr>
      <w:tblGrid>
        <w:gridCol w:w="5083"/>
        <w:gridCol w:w="5083"/>
      </w:tblGrid>
      <w:tr>
        <w:tc>
          <w:tcPr>
            <w:tcW w:type="dxa" w:w="5083"/>
            <w:shd w:fill="E9EEF5"/>
            <w:vAlign w:val="center"/>
          </w:tcPr>
          <w:p>
            <w:pPr>
              <w:spacing w:after="20"/>
            </w:pPr>
            <w:r>
              <w:rPr>
                <w:b/>
                <w:sz w:val="17"/>
              </w:rPr>
              <w:t>Check</w:t>
            </w:r>
          </w:p>
        </w:tc>
        <w:tc>
          <w:tcPr>
            <w:tcW w:type="dxa" w:w="5083"/>
            <w:shd w:fill="E9EEF5"/>
            <w:vAlign w:val="center"/>
          </w:tcPr>
          <w:p>
            <w:pPr>
              <w:spacing w:after="20"/>
            </w:pPr>
            <w:r>
              <w:rPr>
                <w:b/>
                <w:sz w:val="17"/>
              </w:rPr>
              <w:t>Current result</w:t>
            </w:r>
          </w:p>
        </w:tc>
      </w:tr>
      <w:tr>
        <w:tc>
          <w:tcPr>
            <w:tcW w:type="dxa" w:w="5083"/>
            <w:vAlign w:val="center"/>
          </w:tcPr>
          <w:p>
            <w:pPr>
              <w:spacing w:after="20"/>
            </w:pPr>
            <w:r>
              <w:rPr>
                <w:sz w:val="17"/>
              </w:rPr>
              <w:t>Backend tests</w:t>
            </w:r>
          </w:p>
        </w:tc>
        <w:tc>
          <w:tcPr>
            <w:tcW w:type="dxa" w:w="5083"/>
            <w:vAlign w:val="center"/>
          </w:tcPr>
          <w:p>
            <w:pPr>
              <w:spacing w:after="20"/>
            </w:pPr>
            <w:r>
              <w:rPr>
                <w:sz w:val="17"/>
              </w:rPr>
              <w:t>108 passed</w:t>
            </w:r>
          </w:p>
        </w:tc>
      </w:tr>
      <w:tr>
        <w:tc>
          <w:tcPr>
            <w:tcW w:type="dxa" w:w="5083"/>
            <w:vAlign w:val="center"/>
          </w:tcPr>
          <w:p>
            <w:pPr>
              <w:spacing w:after="20"/>
            </w:pPr>
            <w:r>
              <w:rPr>
                <w:sz w:val="17"/>
              </w:rPr>
              <w:t>Frontend tests</w:t>
            </w:r>
          </w:p>
        </w:tc>
        <w:tc>
          <w:tcPr>
            <w:tcW w:type="dxa" w:w="5083"/>
            <w:vAlign w:val="center"/>
          </w:tcPr>
          <w:p>
            <w:pPr>
              <w:spacing w:after="20"/>
            </w:pPr>
            <w:r>
              <w:rPr>
                <w:sz w:val="17"/>
              </w:rPr>
              <w:t>38 passed</w:t>
            </w:r>
          </w:p>
        </w:tc>
      </w:tr>
      <w:tr>
        <w:tc>
          <w:tcPr>
            <w:tcW w:type="dxa" w:w="5083"/>
            <w:vAlign w:val="center"/>
          </w:tcPr>
          <w:p>
            <w:pPr>
              <w:spacing w:after="20"/>
            </w:pPr>
            <w:r>
              <w:rPr>
                <w:sz w:val="17"/>
              </w:rPr>
              <w:t>Frontend build</w:t>
            </w:r>
          </w:p>
        </w:tc>
        <w:tc>
          <w:tcPr>
            <w:tcW w:type="dxa" w:w="5083"/>
            <w:vAlign w:val="center"/>
          </w:tcPr>
          <w:p>
            <w:pPr>
              <w:spacing w:after="20"/>
            </w:pPr>
            <w:r>
              <w:rPr>
                <w:sz w:val="17"/>
              </w:rPr>
              <w:t>Passed</w:t>
            </w:r>
          </w:p>
        </w:tc>
      </w:tr>
      <w:tr>
        <w:tc>
          <w:tcPr>
            <w:tcW w:type="dxa" w:w="5083"/>
            <w:vAlign w:val="center"/>
          </w:tcPr>
          <w:p>
            <w:pPr>
              <w:spacing w:after="20"/>
            </w:pPr>
            <w:r>
              <w:rPr>
                <w:sz w:val="17"/>
              </w:rPr>
              <w:t>Lint</w:t>
            </w:r>
          </w:p>
        </w:tc>
        <w:tc>
          <w:tcPr>
            <w:tcW w:type="dxa" w:w="5083"/>
            <w:vAlign w:val="center"/>
          </w:tcPr>
          <w:p>
            <w:pPr>
              <w:spacing w:after="20"/>
            </w:pPr>
            <w:r>
              <w:rPr>
                <w:sz w:val="17"/>
              </w:rPr>
              <w:t>Exit 0; one Fast Refresh warning</w:t>
            </w:r>
          </w:p>
        </w:tc>
      </w:tr>
    </w:tbl>
    <w:p>
      <w:pPr>
        <w:pStyle w:val="Heading2"/>
      </w:pPr>
      <w:r>
        <w:t>Important cases</w:t>
      </w:r>
    </w:p>
    <w:tbl>
      <w:tblPr>
        <w:tblStyle w:val="TableGrid"/>
        <w:tblW w:type="auto" w:w="0"/>
        <w:jc w:val="center"/>
        <w:tblLook w:firstColumn="1" w:firstRow="1" w:lastColumn="0" w:lastRow="0" w:noHBand="0" w:noVBand="1" w:val="04A0"/>
      </w:tblPr>
      <w:tblGrid>
        <w:gridCol w:w="5083"/>
        <w:gridCol w:w="5083"/>
      </w:tblGrid>
      <w:tr>
        <w:tc>
          <w:tcPr>
            <w:tcW w:type="dxa" w:w="5083"/>
            <w:shd w:fill="E9EEF5"/>
            <w:vAlign w:val="center"/>
          </w:tcPr>
          <w:p>
            <w:pPr>
              <w:spacing w:after="20"/>
            </w:pPr>
            <w:r>
              <w:rPr>
                <w:b/>
                <w:sz w:val="17"/>
              </w:rPr>
              <w:t>Scenario</w:t>
            </w:r>
          </w:p>
        </w:tc>
        <w:tc>
          <w:tcPr>
            <w:tcW w:type="dxa" w:w="5083"/>
            <w:shd w:fill="E9EEF5"/>
            <w:vAlign w:val="center"/>
          </w:tcPr>
          <w:p>
            <w:pPr>
              <w:spacing w:after="20"/>
            </w:pPr>
            <w:r>
              <w:rPr>
                <w:b/>
                <w:sz w:val="17"/>
              </w:rPr>
              <w:t>Expected behaviour</w:t>
            </w:r>
          </w:p>
        </w:tc>
      </w:tr>
      <w:tr>
        <w:tc>
          <w:tcPr>
            <w:tcW w:type="dxa" w:w="5083"/>
            <w:vAlign w:val="center"/>
          </w:tcPr>
          <w:p>
            <w:pPr>
              <w:spacing w:after="20"/>
            </w:pPr>
            <w:r>
              <w:rPr>
                <w:sz w:val="17"/>
              </w:rPr>
              <w:t>Load main-12</w:t>
            </w:r>
          </w:p>
        </w:tc>
        <w:tc>
          <w:tcPr>
            <w:tcW w:type="dxa" w:w="5083"/>
            <w:vAlign w:val="center"/>
          </w:tcPr>
          <w:p>
            <w:pPr>
              <w:spacing w:after="20"/>
            </w:pPr>
            <w:r>
              <w:rPr>
                <w:sz w:val="17"/>
              </w:rPr>
              <w:t>12 employees; INR 821,000 root payroll</w:t>
            </w:r>
          </w:p>
        </w:tc>
      </w:tr>
      <w:tr>
        <w:tc>
          <w:tcPr>
            <w:tcW w:type="dxa" w:w="5083"/>
            <w:vAlign w:val="center"/>
          </w:tcPr>
          <w:p>
            <w:pPr>
              <w:spacing w:after="20"/>
            </w:pPr>
            <w:r>
              <w:rPr>
                <w:sz w:val="17"/>
              </w:rPr>
              <w:t>Invalid / duplicate input</w:t>
            </w:r>
          </w:p>
        </w:tc>
        <w:tc>
          <w:tcPr>
            <w:tcW w:type="dxa" w:w="5083"/>
            <w:vAlign w:val="center"/>
          </w:tcPr>
          <w:p>
            <w:pPr>
              <w:spacing w:after="20"/>
            </w:pPr>
            <w:r>
              <w:rPr>
                <w:sz w:val="17"/>
              </w:rPr>
              <w:t>Defined first validation error</w:t>
            </w:r>
          </w:p>
        </w:tc>
      </w:tr>
      <w:tr>
        <w:tc>
          <w:tcPr>
            <w:tcW w:type="dxa" w:w="5083"/>
            <w:vAlign w:val="center"/>
          </w:tcPr>
          <w:p>
            <w:pPr>
              <w:spacing w:after="20"/>
            </w:pPr>
            <w:r>
              <w:rPr>
                <w:sz w:val="17"/>
              </w:rPr>
              <w:t>Unknown manager / cycle</w:t>
            </w:r>
          </w:p>
        </w:tc>
        <w:tc>
          <w:tcPr>
            <w:tcW w:type="dxa" w:w="5083"/>
            <w:vAlign w:val="center"/>
          </w:tcPr>
          <w:p>
            <w:pPr>
              <w:spacing w:after="20"/>
            </w:pPr>
            <w:r>
              <w:rPr>
                <w:sz w:val="17"/>
              </w:rPr>
              <w:t>Load rejected</w:t>
            </w:r>
          </w:p>
        </w:tc>
      </w:tr>
      <w:tr>
        <w:tc>
          <w:tcPr>
            <w:tcW w:type="dxa" w:w="5083"/>
            <w:vAlign w:val="center"/>
          </w:tcPr>
          <w:p>
            <w:pPr>
              <w:spacing w:after="20"/>
            </w:pPr>
            <w:r>
              <w:rPr>
                <w:sz w:val="17"/>
              </w:rPr>
              <w:t>LEAD_A -&gt; MGR_C</w:t>
            </w:r>
          </w:p>
        </w:tc>
        <w:tc>
          <w:tcPr>
            <w:tcW w:type="dxa" w:w="5083"/>
            <w:vAlign w:val="center"/>
          </w:tcPr>
          <w:p>
            <w:pPr>
              <w:spacing w:after="20"/>
            </w:pPr>
            <w:r>
              <w:rPr>
                <w:sz w:val="17"/>
              </w:rPr>
              <w:t>Valid candidate commits</w:t>
            </w:r>
          </w:p>
        </w:tc>
      </w:tr>
      <w:tr>
        <w:tc>
          <w:tcPr>
            <w:tcW w:type="dxa" w:w="5083"/>
            <w:vAlign w:val="center"/>
          </w:tcPr>
          <w:p>
            <w:pPr>
              <w:spacing w:after="20"/>
            </w:pPr>
            <w:r>
              <w:rPr>
                <w:sz w:val="17"/>
              </w:rPr>
              <w:t>Exact impact</w:t>
            </w:r>
          </w:p>
        </w:tc>
        <w:tc>
          <w:tcPr>
            <w:tcW w:type="dxa" w:w="5083"/>
            <w:vAlign w:val="center"/>
          </w:tcPr>
          <w:p>
            <w:pPr>
              <w:spacing w:after="20"/>
            </w:pPr>
            <w:r>
              <w:rPr>
                <w:sz w:val="17"/>
              </w:rPr>
              <w:t>Only MGR_A and MGR_C rollups change</w:t>
            </w:r>
          </w:p>
        </w:tc>
      </w:tr>
      <w:tr>
        <w:tc>
          <w:tcPr>
            <w:tcW w:type="dxa" w:w="5083"/>
            <w:vAlign w:val="center"/>
          </w:tcPr>
          <w:p>
            <w:pPr>
              <w:spacing w:after="20"/>
            </w:pPr>
            <w:r>
              <w:rPr>
                <w:sz w:val="17"/>
              </w:rPr>
              <w:t>MGR_A -&gt; E3</w:t>
            </w:r>
          </w:p>
        </w:tc>
        <w:tc>
          <w:tcPr>
            <w:tcW w:type="dxa" w:w="5083"/>
            <w:vAlign w:val="center"/>
          </w:tcPr>
          <w:p>
            <w:pPr>
              <w:spacing w:after="20"/>
            </w:pPr>
            <w:r>
              <w:rPr>
                <w:sz w:val="17"/>
              </w:rPr>
              <w:t>Cycle rejected</w:t>
            </w:r>
          </w:p>
        </w:tc>
      </w:tr>
      <w:tr>
        <w:tc>
          <w:tcPr>
            <w:tcW w:type="dxa" w:w="5083"/>
            <w:vAlign w:val="center"/>
          </w:tcPr>
          <w:p>
            <w:pPr>
              <w:spacing w:after="20"/>
            </w:pPr>
            <w:r>
              <w:rPr>
                <w:sz w:val="17"/>
              </w:rPr>
              <w:t>Root transfer</w:t>
            </w:r>
          </w:p>
        </w:tc>
        <w:tc>
          <w:tcPr>
            <w:tcW w:type="dxa" w:w="5083"/>
            <w:vAlign w:val="center"/>
          </w:tcPr>
          <w:p>
            <w:pPr>
              <w:spacing w:after="20"/>
            </w:pPr>
            <w:r>
              <w:rPr>
                <w:sz w:val="17"/>
              </w:rPr>
              <w:t>ROOT_MOVE_FORBIDDEN</w:t>
            </w:r>
          </w:p>
        </w:tc>
      </w:tr>
      <w:tr>
        <w:tc>
          <w:tcPr>
            <w:tcW w:type="dxa" w:w="5083"/>
            <w:vAlign w:val="center"/>
          </w:tcPr>
          <w:p>
            <w:pPr>
              <w:spacing w:after="20"/>
            </w:pPr>
            <w:r>
              <w:rPr>
                <w:sz w:val="17"/>
              </w:rPr>
              <w:t>Rejected transfer</w:t>
            </w:r>
          </w:p>
        </w:tc>
        <w:tc>
          <w:tcPr>
            <w:tcW w:type="dxa" w:w="5083"/>
            <w:vAlign w:val="center"/>
          </w:tcPr>
          <w:p>
            <w:pPr>
              <w:spacing w:after="20"/>
            </w:pPr>
            <w:r>
              <w:rPr>
                <w:sz w:val="17"/>
              </w:rPr>
              <w:t>Current state and previous successful impact retained</w:t>
            </w:r>
          </w:p>
        </w:tc>
      </w:tr>
      <w:tr>
        <w:tc>
          <w:tcPr>
            <w:tcW w:type="dxa" w:w="5083"/>
            <w:vAlign w:val="center"/>
          </w:tcPr>
          <w:p>
            <w:pPr>
              <w:spacing w:after="20"/>
            </w:pPr>
            <w:r>
              <w:rPr>
                <w:sz w:val="17"/>
              </w:rPr>
              <w:t>Preview</w:t>
            </w:r>
          </w:p>
        </w:tc>
        <w:tc>
          <w:tcPr>
            <w:tcW w:type="dxa" w:w="5083"/>
            <w:vAlign w:val="center"/>
          </w:tcPr>
          <w:p>
            <w:pPr>
              <w:spacing w:after="20"/>
            </w:pPr>
            <w:r>
              <w:rPr>
                <w:sz w:val="17"/>
              </w:rPr>
              <w:t>Impact returned without commit</w:t>
            </w:r>
          </w:p>
        </w:tc>
      </w:tr>
      <w:tr>
        <w:tc>
          <w:tcPr>
            <w:tcW w:type="dxa" w:w="5083"/>
            <w:vAlign w:val="center"/>
          </w:tcPr>
          <w:p>
            <w:pPr>
              <w:spacing w:after="20"/>
            </w:pPr>
            <w:r>
              <w:rPr>
                <w:sz w:val="17"/>
              </w:rPr>
              <w:t>Reset + reapply</w:t>
            </w:r>
          </w:p>
        </w:tc>
        <w:tc>
          <w:tcPr>
            <w:tcW w:type="dxa" w:w="5083"/>
            <w:vAlign w:val="center"/>
          </w:tcPr>
          <w:p>
            <w:pPr>
              <w:spacing w:after="20"/>
            </w:pPr>
            <w:r>
              <w:rPr>
                <w:sz w:val="17"/>
              </w:rPr>
              <w:t>Initial state and deterministic result restored</w:t>
            </w:r>
          </w:p>
        </w:tc>
      </w:tr>
    </w:tbl>
    <w:p>
      <w:pPr>
        <w:pStyle w:val="Heading2"/>
      </w:pPr>
      <w:r>
        <w:t>Expected-result checks</w:t>
      </w:r>
    </w:p>
    <w:p>
      <w:pPr>
        <w:pStyle w:val="ListBullet"/>
        <w:spacing w:after="30"/>
      </w:pPr>
      <w:r>
        <w:t>Root: 12 employees / INR 821,000.</w:t>
      </w:r>
    </w:p>
    <w:p>
      <w:pPr>
        <w:pStyle w:val="ListBullet"/>
        <w:spacing w:after="30"/>
      </w:pPr>
      <w:r>
        <w:t>LEAD_A subtree: 3 employees / INR 145,000.</w:t>
      </w:r>
    </w:p>
    <w:p>
      <w:pPr>
        <w:pStyle w:val="ListBullet"/>
        <w:spacing w:after="30"/>
      </w:pPr>
      <w:r>
        <w:t>MGR_A: 5 / INR 282,000 -&gt; 2 / INR 137,000.</w:t>
      </w:r>
    </w:p>
    <w:p>
      <w:pPr>
        <w:pStyle w:val="ListBullet"/>
        <w:spacing w:after="30"/>
      </w:pPr>
      <w:r>
        <w:t>MGR_C: 2 / INR 117,000 -&gt; 5 / INR 262,000.</w:t>
      </w:r>
    </w:p>
    <w:p>
      <w:pPr>
        <w:pStyle w:val="ListBullet"/>
        <w:spacing w:after="30"/>
      </w:pPr>
      <w:r>
        <w:t>changed_rollup_ids: MGR_A, MGR_C.</w:t>
      </w:r>
    </w:p>
    <w:p>
      <w:pPr>
        <w:pStyle w:val="ListBullet"/>
        <w:spacing w:after="30"/>
      </w:pPr>
      <w:r>
        <w:t>HOD remains 12 / INR 821,000.</w:t>
      </w:r>
    </w:p>
    <w:p>
      <w:pPr>
        <w:pStyle w:val="Heading2"/>
      </w:pPr>
      <w:r>
        <w:t>Known limitations</w:t>
      </w:r>
    </w:p>
    <w:p>
      <w:pPr>
        <w:pStyle w:val="ListBullet"/>
        <w:spacing w:after="30"/>
      </w:pPr>
      <w:r>
        <w:t>Process-local state; no persistence or user isolation.</w:t>
      </w:r>
    </w:p>
    <w:p>
      <w:pPr>
        <w:pStyle w:val="ListBullet"/>
        <w:spacing w:after="30"/>
      </w:pPr>
      <w:r>
        <w:t>No production concurrency model or audit history.</w:t>
      </w:r>
    </w:p>
    <w:p>
      <w:pPr>
        <w:pStyle w:val="ListBullet"/>
        <w:spacing w:after="30"/>
      </w:pPr>
      <w:r>
        <w:t>Frontend coverage is focused rather than a complete browser E2E suite for every pan/zoom/drag path.</w:t>
      </w:r>
    </w:p>
    <w:p>
      <w:pPr>
        <w:pStyle w:val="ListBullet"/>
        <w:spacing w:after="30"/>
      </w:pPr>
      <w:r>
        <w:t>One Fast Refresh lint warning remains because OrgTreeCanvas.tsx exports a helper alongside the component.</w:t>
      </w:r>
    </w:p>
    <w:p>
      <w:r>
        <w:br w:type="page"/>
      </w:r>
    </w:p>
    <w:p>
      <w:pPr>
        <w:pStyle w:val="Heading1"/>
      </w:pPr>
      <w:r>
        <w:t>6. Selected AI Prompt History</w:t>
      </w:r>
    </w:p>
    <w:p>
      <w:pPr>
        <w:pStyle w:val="Heading2"/>
      </w:pPr>
      <w:r>
        <w:t>Project setup</w:t>
      </w:r>
    </w:p>
    <w:p>
      <w:r>
        <w:rPr>
          <w:b/>
        </w:rPr>
        <w:t xml:space="preserve">Prompt: </w:t>
      </w:r>
      <w:r>
        <w:rPr>
          <w:i/>
        </w:rPr>
        <w:t>Convert the raw problem statement into `PRD.md` and `ARCHITECTURE.md`, then initialise the repo's documentation scaffold for systematic building.</w:t>
      </w:r>
    </w:p>
    <w:p>
      <w:r>
        <w:rPr>
          <w:b/>
        </w:rPr>
        <w:t xml:space="preserve">Outcome: </w:t>
      </w:r>
      <w:r>
        <w:t>Accepted. Requirements, architecture constraints, implementation stages, expected results, prompt history, and test evidence were separated before full implementation.</w:t>
      </w:r>
    </w:p>
    <w:p>
      <w:pPr>
        <w:pStyle w:val="Heading2"/>
      </w:pPr>
      <w:r>
        <w:t>Load validation</w:t>
      </w:r>
    </w:p>
    <w:p>
      <w:r>
        <w:rPr>
          <w:b/>
        </w:rPr>
        <w:t xml:space="preserve">Prompt: </w:t>
      </w:r>
      <w:r>
        <w:rPr>
          <w:i/>
        </w:rPr>
        <w:t>Implement the pure six-pass department-load validation pipeline test-first, preserving pass and source order, frozen `Employee`, and avoiding `sorted()` in domain and service code.</w:t>
      </w:r>
    </w:p>
    <w:p>
      <w:r>
        <w:rPr>
          <w:b/>
        </w:rPr>
        <w:t xml:space="preserve">Outcome: </w:t>
      </w:r>
      <w:r>
        <w:t>Accepted. Validation uses fixed passes with deterministic source-order precedence.</w:t>
      </w:r>
    </w:p>
    <w:p>
      <w:pPr>
        <w:pStyle w:val="Heading2"/>
      </w:pPr>
      <w:r>
        <w:t>Tree + rollups</w:t>
      </w:r>
    </w:p>
    <w:p>
      <w:r>
        <w:rPr>
          <w:b/>
        </w:rPr>
        <w:t xml:space="preserve">Prompt: </w:t>
      </w:r>
      <w:r>
        <w:rPr>
          <w:i/>
        </w:rPr>
        <w:t>Complete source-order tree construction and exact integer postorder rollups test-first, with root invariant failures raising exceptions and the independent oracle kept outside production code.</w:t>
      </w:r>
    </w:p>
    <w:p>
      <w:r>
        <w:rPr>
          <w:b/>
        </w:rPr>
        <w:t xml:space="preserve">Outcome: </w:t>
      </w:r>
      <w:r>
        <w:t>Accepted. Rollups are derived bottom-up and root totals are checked.</w:t>
      </w:r>
    </w:p>
    <w:p>
      <w:pPr>
        <w:pStyle w:val="Heading2"/>
      </w:pPr>
      <w:r>
        <w:t>Transfer logic</w:t>
      </w:r>
    </w:p>
    <w:p>
      <w:r>
        <w:rPr>
          <w:b/>
        </w:rPr>
        <w:t xml:space="preserve">Prompt: </w:t>
      </w:r>
      <w:r>
        <w:rPr>
          <w:i/>
        </w:rPr>
        <w:t>Implement pure transfer validation, immutable candidate copying, and rollup-impact detection with exact source-order semantics.</w:t>
      </w:r>
    </w:p>
    <w:p>
      <w:r>
        <w:rPr>
          <w:b/>
        </w:rPr>
        <w:t xml:space="preserve">Outcome: </w:t>
      </w:r>
      <w:r>
        <w:t>Accepted with review. Candidate-before-commit and value-based impact diff were kept.</w:t>
      </w:r>
    </w:p>
    <w:p>
      <w:pPr>
        <w:pStyle w:val="Heading2"/>
      </w:pPr>
      <w:r>
        <w:t>Architecture review - mutable tree</w:t>
      </w:r>
    </w:p>
    <w:p>
      <w:r>
        <w:rPr>
          <w:b/>
        </w:rPr>
        <w:t xml:space="preserve">Prompt: </w:t>
      </w:r>
      <w:r>
        <w:rPr>
          <w:i/>
        </w:rPr>
        <w:t>Should I keep a nested organisation tree in state and update it directly on transfers, or keep the flat employee records canonical? Review both approaches for this problem.</w:t>
      </w:r>
    </w:p>
    <w:p>
      <w:r>
        <w:rPr>
          <w:b/>
        </w:rPr>
        <w:t xml:space="preserve">Outcome: </w:t>
      </w:r>
      <w:r>
        <w:t>Rejected AI's mutable-tree direction. The ordered flat list stayed canonical; tree and rollups are derived to avoid synchronisation bugs and preserve source order/reset behaviour.</w:t>
      </w:r>
    </w:p>
    <w:p>
      <w:pPr>
        <w:pStyle w:val="Heading2"/>
      </w:pPr>
      <w:r>
        <w:t>Optimization review - incremental rollups</w:t>
      </w:r>
    </w:p>
    <w:p>
      <w:r>
        <w:rPr>
          <w:b/>
        </w:rPr>
        <w:t xml:space="preserve">Prompt: </w:t>
      </w:r>
      <w:r>
        <w:rPr>
          <w:i/>
        </w:rPr>
        <w:t>Optimize transfer impact by updating only the old-manager and new-manager ancestor chains instead of recalculating every rollup. Keep the exact changed-rollup output correct.</w:t>
      </w:r>
    </w:p>
    <w:p>
      <w:r>
        <w:rPr>
          <w:b/>
        </w:rPr>
        <w:t xml:space="preserve">Outcome: </w:t>
      </w:r>
      <w:r>
        <w:t>Rejected the incremental patch. Full O(n) recomputation is simpler at the required size and direct value comparison avoids shared-ancestor edge cases.</w:t>
      </w:r>
    </w:p>
    <w:p>
      <w:pPr>
        <w:pStyle w:val="Heading2"/>
      </w:pPr>
      <w:r>
        <w:t>API boundary</w:t>
      </w:r>
    </w:p>
    <w:p>
      <w:r>
        <w:rPr>
          <w:b/>
        </w:rPr>
        <w:t xml:space="preserve">Prompt: </w:t>
      </w:r>
      <w:r>
        <w:rPr>
          <w:i/>
        </w:rPr>
        <w:t>Expose scenario selection, department views, transfer preview, and reset through a thin local FastAPI API while keeping API-only unloaded-state handling outside the domain.</w:t>
      </w:r>
    </w:p>
    <w:p>
      <w:r>
        <w:rPr>
          <w:b/>
        </w:rPr>
        <w:t xml:space="preserve">Outcome: </w:t>
      </w:r>
      <w:r>
        <w:t>Accepted. Domain validation remains outside FastAPI.</w:t>
      </w:r>
    </w:p>
    <w:p>
      <w:pPr>
        <w:pStyle w:val="Heading2"/>
      </w:pPr>
      <w:r>
        <w:t>Organisation tree</w:t>
      </w:r>
    </w:p>
    <w:p>
      <w:r>
        <w:rPr>
          <w:b/>
        </w:rPr>
        <w:t xml:space="preserve">Prompt: </w:t>
      </w:r>
      <w:r>
        <w:rPr>
          <w:i/>
        </w:rPr>
        <w:t>Add a pure, test-first SVG organisation chart with deterministic source-order layout, keyboard selection, and transfer-impact markers.</w:t>
      </w:r>
    </w:p>
    <w:p>
      <w:r>
        <w:rPr>
          <w:b/>
        </w:rPr>
        <w:t xml:space="preserve">Outcome: </w:t>
      </w:r>
      <w:r>
        <w:t>Accepted. Frontend layout is presentation-only.</w:t>
      </w:r>
    </w:p>
    <w:p>
      <w:pPr>
        <w:pStyle w:val="Heading2"/>
      </w:pPr>
      <w:r>
        <w:t>Regression tests</w:t>
      </w:r>
    </w:p>
    <w:p>
      <w:r>
        <w:rPr>
          <w:b/>
        </w:rPr>
        <w:t xml:space="preserve">Prompt: </w:t>
      </w:r>
      <w:r>
        <w:rPr>
          <w:i/>
        </w:rPr>
        <w:t>Add focused frontend regression coverage for layout invariants, employee selection, transfer rejection retention, invalid-load clearing, reset semantics, and every API-client route contract.</w:t>
      </w:r>
    </w:p>
    <w:p>
      <w:r>
        <w:rPr>
          <w:b/>
        </w:rPr>
        <w:t xml:space="preserve">Outcome: </w:t>
      </w:r>
      <w:r>
        <w:t>Accepted. Coverage focuses on interaction contracts and the API boundary.</w:t>
      </w:r>
    </w:p>
    <w:p>
      <w:pPr>
        <w:pStyle w:val="Heading2"/>
      </w:pPr>
      <w:r>
        <w:t>Final verification</w:t>
      </w:r>
    </w:p>
    <w:p>
      <w:r>
        <w:rPr>
          <w:b/>
        </w:rPr>
        <w:t xml:space="preserve">Prompt: </w:t>
      </w:r>
      <w:r>
        <w:rPr>
          <w:i/>
        </w:rPr>
        <w:t>Run the real backend and frontend test/build/lint commands, drive a live end-to-end walkthrough of the demo against the exact oracle values, capture screenshots, then fill in test evidence and document deviations from the original plan.</w:t>
      </w:r>
    </w:p>
    <w:p>
      <w:r>
        <w:rPr>
          <w:b/>
        </w:rPr>
        <w:t xml:space="preserve">Outcome: </w:t>
      </w:r>
      <w:r>
        <w:t>The walkthrough exposed the collapsed chart-height bug despite green tests. It was fixed narrowly and the complete verification was rerun.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Cisco AI-Assisted Coding Interview — Departmental Reorg Payroll Rollup Tracker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