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84" w:lineRule="exact"/>
      </w:pPr>
      <w:r>
        <w:rPr>
          <w:rFonts w:ascii="Arial" w:hAnsi="Arial"/>
          <w:b/>
          <w:i w:val="0"/>
          <w:color w:val="3D727E"/>
          <w:sz w:val="28"/>
        </w:rPr>
        <w:t>Thodsaporn Chay-intr</w:t>
      </w:r>
    </w:p>
    <w:p>
      <w:pPr>
        <w:spacing w:before="30" w:after="0" w:line="184" w:lineRule="exact"/>
      </w:pPr>
      <w:r>
        <w:rPr>
          <w:rFonts w:ascii="Arial" w:hAnsi="Arial"/>
          <w:b w:val="0"/>
          <w:i w:val="0"/>
          <w:color w:val="585858"/>
          <w:sz w:val="16"/>
        </w:rPr>
        <w:t>Hands-On AI/ML Engineer · Chief AI Officer — LLMs, Speech, and Multimodal AI</w:t>
      </w:r>
    </w:p>
    <w:p>
      <w:pPr>
        <w:spacing w:before="50" w:after="0" w:line="184" w:lineRule="exact"/>
      </w:pPr>
      <w:r>
        <w:rPr>
          <w:rFonts w:ascii="Arial" w:hAnsi="Arial"/>
          <w:b w:val="0"/>
          <w:i w:val="0"/>
          <w:color w:val="585858"/>
          <w:sz w:val="14"/>
        </w:rPr>
        <w:t>Bangkok, Thailand  •  +66-84-568-1166  •  t.chayintr@gmail.com  •  linkedin.com/in/tchayintr  •  github.com/tchayintr  •  boated.zip</w:t>
      </w:r>
    </w:p>
    <w:p>
      <w:pPr>
        <w:spacing w:before="100" w:after="0" w:line="212" w:lineRule="exact"/>
        <w:jc w:val="both"/>
      </w:pPr>
      <w:r>
        <w:rPr>
          <w:rFonts w:ascii="Arial" w:hAnsi="Arial"/>
          <w:b w:val="0"/>
          <w:i w:val="0"/>
          <w:color w:val="1A1A1A"/>
          <w:sz w:val="15"/>
        </w:rPr>
        <w:t>AI/ML leader with 9+ years in NLP and production AI, shipping domain-tuned Thai LLMs (OpenThaiGPT, ChindaLLM, ChindaMT, OpenThai Legal) with speech and multimodal systems behind 70M+ API calls. Chief AI Officer at iApp Technology, working directly with enterprise, banking, and government clients — including builds with NVIDIA and NEC — from scoping through delivery. Doctorate from Institute of Science Tokyo, with publications at EACL, RANLP, and the Journal of Natural Language Processing.</w:t>
      </w:r>
    </w:p>
    <w:p>
      <w:pPr>
        <w:keepNext/>
        <w:spacing w:before="220" w:after="50" w:line="184" w:lineRule="exact"/>
        <w:pBdr>
          <w:bottom w:val="single" w:sz="6" w:space="2" w:color="B9CCD1"/>
        </w:pBdr>
      </w:pPr>
      <w:r>
        <w:rPr>
          <w:rFonts w:ascii="Arial" w:hAnsi="Arial"/>
          <w:b/>
          <w:i w:val="0"/>
          <w:color w:val="3D727E"/>
          <w:sz w:val="17"/>
        </w:rPr>
        <w:t>Work Experience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iApp Technology Co., Ltd., Bangkok, Thailand</w:t>
      </w:r>
      <w:r>
        <w:rPr>
          <w:rFonts w:ascii="Arial" w:hAnsi="Arial"/>
          <w:b w:val="0"/>
          <w:i w:val="0"/>
          <w:color w:val="585858"/>
          <w:sz w:val="15"/>
        </w:rPr>
        <w:tab/>
        <w:t>Jan 2024 – Present</w:t>
      </w:r>
    </w:p>
    <w:p>
      <w:pPr>
        <w:spacing w:before="32" w:after="0" w:line="184" w:lineRule="exact"/>
      </w:pPr>
      <w:r>
        <w:rPr>
          <w:rFonts w:ascii="Arial" w:hAnsi="Arial"/>
          <w:b w:val="0"/>
          <w:i/>
          <w:color w:val="585858"/>
          <w:sz w:val="15"/>
        </w:rPr>
        <w:t>Creator of OpenThaiGPT; named a Top 5 Thai AI startup in 2026, serving 100+ enterprise, banking, and government clients.</w:t>
      </w:r>
    </w:p>
    <w:p>
      <w:pPr>
        <w:spacing w:before="36" w:after="0" w:line="184" w:lineRule="exact"/>
        <w:ind w:left="180"/>
      </w:pPr>
      <w:r>
        <w:rPr>
          <w:rFonts w:ascii="Arial" w:hAnsi="Arial"/>
          <w:i w:val="0"/>
          <w:color w:val="1A1A1A"/>
          <w:sz w:val="15"/>
        </w:rPr>
        <w:t>Chief AI Officer</w:t>
      </w:r>
      <w:r>
        <w:rPr>
          <w:rFonts w:ascii="Arial" w:hAnsi="Arial"/>
          <w:b w:val="0"/>
          <w:i w:val="0"/>
          <w:color w:val="585858"/>
          <w:sz w:val="15"/>
        </w:rPr>
        <w:t xml:space="preserve">  ·  Jun 2025 – Present</w:t>
      </w:r>
    </w:p>
    <w:p>
      <w:pPr>
        <w:spacing w:before="0" w:after="0" w:line="184" w:lineRule="exact"/>
        <w:ind w:left="180"/>
      </w:pPr>
      <w:r>
        <w:rPr>
          <w:rFonts w:ascii="Arial" w:hAnsi="Arial"/>
          <w:b w:val="0"/>
          <w:i w:val="0"/>
          <w:color w:val="585858"/>
          <w:sz w:val="15"/>
        </w:rPr>
        <w:t>Previously Head of AI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Led the AI and R&amp;D departments, 10+ members across AI, software engineering, and design.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Delivered 10+ client AI projects, from pre-sales scoping through maintenance.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Grew the AI product lines (LLMs, speech, vision) 3.5x in a year, to 70M+ calls, using the latest methods.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Set AI strategy with the CEO and scaled self-hosted GPU serving to hundreds of thousands of daily requests.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Raised the company's enterprise profile through one.iapp.co.th, open.iapp.co.th, and national AI talks.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Artificial Intelligence Association of Thailand, Thailand</w:t>
      </w:r>
      <w:r>
        <w:rPr>
          <w:rFonts w:ascii="Arial" w:hAnsi="Arial"/>
          <w:b w:val="0"/>
          <w:i w:val="0"/>
          <w:color w:val="585858"/>
          <w:sz w:val="15"/>
        </w:rPr>
        <w:tab/>
        <w:t>Jan 2018 – Aug 2023</w:t>
      </w:r>
    </w:p>
    <w:p>
      <w:pPr>
        <w:spacing w:before="36" w:after="0" w:line="184" w:lineRule="exact"/>
        <w:ind w:left="180"/>
      </w:pPr>
      <w:r>
        <w:rPr>
          <w:rFonts w:ascii="Arial" w:hAnsi="Arial"/>
          <w:b w:val="0"/>
          <w:i w:val="0"/>
          <w:color w:val="585858"/>
          <w:sz w:val="15"/>
        </w:rPr>
        <w:t>ML Researcher | Lecturer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Advised government and public sectors on AI transformation strategies, contributing to 10+ projects and publications.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Delivered ML/NLP courses on algorithms, techniques, and tools (e.g., SVM, parsing, scikit-learn).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Institute of Science Tokyo (formerly Tokyo Institute of Technology), Japan</w:t>
      </w:r>
      <w:r>
        <w:rPr>
          <w:rFonts w:ascii="Arial" w:hAnsi="Arial"/>
          <w:b w:val="0"/>
          <w:i w:val="0"/>
          <w:color w:val="585858"/>
          <w:sz w:val="15"/>
        </w:rPr>
        <w:tab/>
        <w:t>Sep 2019 – Mar 2020</w:t>
      </w:r>
    </w:p>
    <w:p>
      <w:pPr>
        <w:spacing w:before="36" w:after="0" w:line="184" w:lineRule="exact"/>
        <w:ind w:left="180"/>
      </w:pPr>
      <w:r>
        <w:rPr>
          <w:rFonts w:ascii="Arial" w:hAnsi="Arial"/>
          <w:b w:val="0"/>
          <w:i w:val="0"/>
          <w:color w:val="585858"/>
          <w:sz w:val="15"/>
        </w:rPr>
        <w:t>Research Assistant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Collaborated on an NLU module for real-world Japanese dialogue, focusing on linguistic attribute extraction.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Developed a Seq2Seq model with cross-attention in PyTorch for NLG, improving naturalness in Japanese text generation.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iApp Technology Co., Ltd., Thailand</w:t>
      </w:r>
      <w:r>
        <w:rPr>
          <w:rFonts w:ascii="Arial" w:hAnsi="Arial"/>
          <w:b w:val="0"/>
          <w:i w:val="0"/>
          <w:color w:val="585858"/>
          <w:sz w:val="15"/>
        </w:rPr>
        <w:tab/>
        <w:t>Mar 2017 – Feb 2018</w:t>
      </w:r>
    </w:p>
    <w:p>
      <w:pPr>
        <w:spacing w:before="36" w:after="0" w:line="184" w:lineRule="exact"/>
        <w:ind w:left="180"/>
      </w:pPr>
      <w:r>
        <w:rPr>
          <w:rFonts w:ascii="Arial" w:hAnsi="Arial"/>
          <w:b w:val="0"/>
          <w:i w:val="0"/>
          <w:color w:val="585858"/>
          <w:sz w:val="15"/>
        </w:rPr>
        <w:t>AI/ML Engineer | Researcher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Led the first Thai Treebank, still used in Thailand's national AI competitions.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Deployed a GCP annotation tool: +3% annotation quality, half the annotation time.</w:t>
      </w:r>
    </w:p>
    <w:p>
      <w:pPr>
        <w:keepNext/>
        <w:spacing w:before="220" w:after="50" w:line="184" w:lineRule="exact"/>
        <w:pBdr>
          <w:bottom w:val="single" w:sz="6" w:space="2" w:color="B9CCD1"/>
        </w:pBdr>
      </w:pPr>
      <w:r>
        <w:rPr>
          <w:rFonts w:ascii="Arial" w:hAnsi="Arial"/>
          <w:b/>
          <w:i w:val="0"/>
          <w:color w:val="3D727E"/>
          <w:sz w:val="17"/>
        </w:rPr>
        <w:t>Education</w:t>
      </w:r>
    </w:p>
    <w:p>
      <w:pPr>
        <w:tabs>
          <w:tab w:pos="9865" w:val="right"/>
        </w:tabs>
        <w:spacing w:before="70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Institute of Science Tokyo (formerly Tokyo Institute of Technology), Tokyo, Japan</w:t>
      </w:r>
      <w:r>
        <w:rPr>
          <w:rFonts w:ascii="Arial" w:hAnsi="Arial"/>
          <w:b w:val="0"/>
          <w:i w:val="0"/>
          <w:color w:val="585858"/>
          <w:sz w:val="15"/>
        </w:rPr>
        <w:tab/>
        <w:t>Apr 2019 – Sep 2023</w:t>
      </w:r>
    </w:p>
    <w:p>
      <w:pPr>
        <w:spacing w:before="32" w:after="0" w:line="184" w:lineRule="exact"/>
      </w:pPr>
      <w:r>
        <w:rPr>
          <w:rFonts w:ascii="Arial" w:hAnsi="Arial"/>
          <w:b w:val="0"/>
          <w:i w:val="0"/>
          <w:color w:val="1A1A1A"/>
          <w:sz w:val="15"/>
        </w:rPr>
        <w:t>Doctor of Engineering — Information and Communications Engineering</w:t>
      </w:r>
      <w:r>
        <w:rPr>
          <w:rFonts w:ascii="Arial" w:hAnsi="Arial"/>
          <w:b w:val="0"/>
          <w:i w:val="0"/>
          <w:color w:val="1A1A1A"/>
          <w:sz w:val="15"/>
        </w:rPr>
        <w:t xml:space="preserve"> (</w:t>
      </w:r>
      <w:r>
        <w:rPr>
          <w:rFonts w:ascii="Arial" w:hAnsi="Arial"/>
          <w:b w:val="0"/>
          <w:i/>
          <w:color w:val="1A1A1A"/>
          <w:sz w:val="15"/>
        </w:rPr>
        <w:t>NSK Scholarship Foundation</w:t>
      </w:r>
      <w:r>
        <w:rPr>
          <w:rFonts w:ascii="Arial" w:hAnsi="Arial"/>
          <w:b w:val="0"/>
          <w:i w:val="0"/>
          <w:color w:val="1A1A1A"/>
          <w:sz w:val="15"/>
        </w:rPr>
        <w:t>)</w:t>
      </w:r>
    </w:p>
    <w:p>
      <w:pPr>
        <w:tabs>
          <w:tab w:pos="9865" w:val="right"/>
        </w:tabs>
        <w:spacing w:before="70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Sirindhorn International Institute of Technology, Pathum Thani, Thailand</w:t>
      </w:r>
      <w:r>
        <w:rPr>
          <w:rFonts w:ascii="Arial" w:hAnsi="Arial"/>
          <w:b w:val="0"/>
          <w:i w:val="0"/>
          <w:color w:val="585858"/>
          <w:sz w:val="15"/>
        </w:rPr>
        <w:tab/>
        <w:t>Jul 2015 – Aug 2018</w:t>
      </w:r>
    </w:p>
    <w:p>
      <w:pPr>
        <w:spacing w:before="32" w:after="0" w:line="184" w:lineRule="exact"/>
      </w:pPr>
      <w:r>
        <w:rPr>
          <w:rFonts w:ascii="Arial" w:hAnsi="Arial"/>
          <w:b w:val="0"/>
          <w:i w:val="0"/>
          <w:color w:val="1A1A1A"/>
          <w:sz w:val="15"/>
        </w:rPr>
        <w:t>Master of Engineering — Information, Communication and Technology for Embedded Systems</w:t>
      </w:r>
      <w:r>
        <w:rPr>
          <w:rFonts w:ascii="Arial" w:hAnsi="Arial"/>
          <w:b w:val="0"/>
          <w:i w:val="0"/>
          <w:color w:val="1A1A1A"/>
          <w:sz w:val="15"/>
        </w:rPr>
        <w:t xml:space="preserve"> (</w:t>
      </w:r>
      <w:r>
        <w:rPr>
          <w:rFonts w:ascii="Arial" w:hAnsi="Arial"/>
          <w:b w:val="0"/>
          <w:i/>
          <w:color w:val="1A1A1A"/>
          <w:sz w:val="15"/>
        </w:rPr>
        <w:t>TAIST Tokyo Tech Scholarship</w:t>
      </w:r>
      <w:r>
        <w:rPr>
          <w:rFonts w:ascii="Arial" w:hAnsi="Arial"/>
          <w:b w:val="0"/>
          <w:i w:val="0"/>
          <w:color w:val="1A1A1A"/>
          <w:sz w:val="15"/>
        </w:rPr>
        <w:t>)</w:t>
      </w:r>
    </w:p>
    <w:p>
      <w:pPr>
        <w:tabs>
          <w:tab w:pos="9865" w:val="right"/>
        </w:tabs>
        <w:spacing w:before="70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Thammasat University, Pathum Thani, Thailand</w:t>
      </w:r>
      <w:r>
        <w:rPr>
          <w:rFonts w:ascii="Arial" w:hAnsi="Arial"/>
          <w:b w:val="0"/>
          <w:i w:val="0"/>
          <w:color w:val="585858"/>
          <w:sz w:val="15"/>
        </w:rPr>
        <w:tab/>
        <w:t>Jun 2011 – Aug 2015</w:t>
      </w:r>
    </w:p>
    <w:p>
      <w:pPr>
        <w:spacing w:before="32" w:after="0" w:line="184" w:lineRule="exact"/>
      </w:pPr>
      <w:r>
        <w:rPr>
          <w:rFonts w:ascii="Arial" w:hAnsi="Arial"/>
          <w:b w:val="0"/>
          <w:i w:val="0"/>
          <w:color w:val="1A1A1A"/>
          <w:sz w:val="15"/>
        </w:rPr>
        <w:t>Bachelor of Science — Computer Science</w:t>
      </w:r>
      <w:r>
        <w:rPr>
          <w:rFonts w:ascii="Arial" w:hAnsi="Arial"/>
          <w:b w:val="0"/>
          <w:i w:val="0"/>
          <w:color w:val="1A1A1A"/>
          <w:sz w:val="15"/>
        </w:rPr>
        <w:t xml:space="preserve"> (</w:t>
      </w:r>
      <w:r>
        <w:rPr>
          <w:rFonts w:ascii="Arial" w:hAnsi="Arial"/>
          <w:b w:val="0"/>
          <w:i/>
          <w:color w:val="1A1A1A"/>
          <w:sz w:val="15"/>
        </w:rPr>
        <w:t>Chairman of the Student Representative Council</w:t>
      </w:r>
      <w:r>
        <w:rPr>
          <w:rFonts w:ascii="Arial" w:hAnsi="Arial"/>
          <w:b w:val="0"/>
          <w:i w:val="0"/>
          <w:color w:val="1A1A1A"/>
          <w:sz w:val="15"/>
        </w:rPr>
        <w:t>)</w:t>
      </w:r>
    </w:p>
    <w:p>
      <w:pPr>
        <w:keepNext/>
        <w:spacing w:before="220" w:after="50" w:line="184" w:lineRule="exact"/>
        <w:pBdr>
          <w:bottom w:val="single" w:sz="6" w:space="2" w:color="B9CCD1"/>
        </w:pBdr>
      </w:pPr>
      <w:r>
        <w:rPr>
          <w:rFonts w:ascii="Arial" w:hAnsi="Arial"/>
          <w:b/>
          <w:i w:val="0"/>
          <w:color w:val="3D727E"/>
          <w:sz w:val="17"/>
        </w:rPr>
        <w:t>Key Skills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Programming</w:t>
      </w:r>
      <w:r>
        <w:rPr>
          <w:rFonts w:ascii="Arial" w:hAnsi="Arial"/>
          <w:b w:val="0"/>
          <w:i w:val="0"/>
          <w:color w:val="1A1A1A"/>
          <w:sz w:val="15"/>
        </w:rPr>
        <w:tab/>
        <w:t>Python, C/C++, Rust, Shell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ML Frameworks</w:t>
      </w:r>
      <w:r>
        <w:rPr>
          <w:rFonts w:ascii="Arial" w:hAnsi="Arial"/>
          <w:b w:val="0"/>
          <w:i w:val="0"/>
          <w:color w:val="1A1A1A"/>
          <w:sz w:val="15"/>
        </w:rPr>
        <w:tab/>
        <w:t>PyTorch, PyTorch Lightning, Hugging Face, TensorFlow, PyG, scikit-learn, OpenCV, spaCy, NLTK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Fine-tuning</w:t>
      </w:r>
      <w:r>
        <w:rPr>
          <w:rFonts w:ascii="Arial" w:hAnsi="Arial"/>
          <w:b w:val="0"/>
          <w:i w:val="0"/>
          <w:color w:val="1A1A1A"/>
          <w:sz w:val="15"/>
        </w:rPr>
        <w:tab/>
        <w:t>SFT, DPO, KTO, GRPO, LoRA/PEFT, LLaMA-Factory, ms-swift, TRL, DeepSpeed/FSDP, NVIDIA NeMo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Models tuned</w:t>
      </w:r>
      <w:r>
        <w:rPr>
          <w:rFonts w:ascii="Arial" w:hAnsi="Arial"/>
          <w:b w:val="0"/>
          <w:i w:val="0"/>
          <w:color w:val="1A1A1A"/>
          <w:sz w:val="15"/>
        </w:rPr>
        <w:tab/>
        <w:t>Llama, Qwen, Gemma, Mistral, Typhoon, Nemotron, LLaVA, Whisper, BERT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Domains</w:t>
      </w:r>
      <w:r>
        <w:rPr>
          <w:rFonts w:ascii="Arial" w:hAnsi="Arial"/>
          <w:b w:val="0"/>
          <w:i w:val="0"/>
          <w:color w:val="1A1A1A"/>
          <w:sz w:val="15"/>
        </w:rPr>
        <w:tab/>
        <w:t>Legal, Medical, Banking and finance, Government, Broadcast and telecom, Elderly care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Serving</w:t>
      </w:r>
      <w:r>
        <w:rPr>
          <w:rFonts w:ascii="Arial" w:hAnsi="Arial"/>
          <w:b w:val="0"/>
          <w:i w:val="0"/>
          <w:color w:val="1A1A1A"/>
          <w:sz w:val="15"/>
        </w:rPr>
        <w:tab/>
        <w:t>vLLM, TensorRT-LLM, Triton, Quantization, LoRA serving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Speech</w:t>
      </w:r>
      <w:r>
        <w:rPr>
          <w:rFonts w:ascii="Arial" w:hAnsi="Arial"/>
          <w:b w:val="0"/>
          <w:i w:val="0"/>
          <w:color w:val="1A1A1A"/>
          <w:sz w:val="15"/>
        </w:rPr>
        <w:tab/>
        <w:t>ASR, TTS, Voice cloning, Speech-to-speech, Real-time translation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Infrastructure</w:t>
      </w:r>
      <w:r>
        <w:rPr>
          <w:rFonts w:ascii="Arial" w:hAnsi="Arial"/>
          <w:b w:val="0"/>
          <w:i w:val="0"/>
          <w:color w:val="1A1A1A"/>
          <w:sz w:val="15"/>
        </w:rPr>
        <w:tab/>
        <w:t>Linux, Docker, Kubernetes/k3s, Jenkins, Kong, MinIO, Elasticsearch, Kibana, Hadoop/Spark, SQL/NoSQL, GCP, AWS, Git, FastAPI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AI tooling</w:t>
      </w:r>
      <w:r>
        <w:rPr>
          <w:rFonts w:ascii="Arial" w:hAnsi="Arial"/>
          <w:b w:val="0"/>
          <w:i w:val="0"/>
          <w:color w:val="1A1A1A"/>
          <w:sz w:val="15"/>
        </w:rPr>
        <w:tab/>
        <w:t>Claude Code, Codex, MCP</w:t>
      </w:r>
    </w:p>
    <w:p>
      <w:pPr>
        <w:tabs>
          <w:tab w:pos="2143" w:val="left"/>
        </w:tabs>
        <w:spacing w:before="44" w:after="0" w:line="184" w:lineRule="exact"/>
        <w:ind w:left="2143" w:hanging="1843"/>
      </w:pPr>
      <w:r>
        <w:rPr>
          <w:rFonts w:ascii="Arial" w:hAnsi="Arial"/>
          <w:b/>
          <w:i w:val="0"/>
          <w:color w:val="1A1A1A"/>
          <w:sz w:val="15"/>
        </w:rPr>
        <w:t>Languages</w:t>
      </w:r>
      <w:r>
        <w:rPr>
          <w:rFonts w:ascii="Arial" w:hAnsi="Arial"/>
          <w:b w:val="0"/>
          <w:i w:val="0"/>
          <w:color w:val="1A1A1A"/>
          <w:sz w:val="15"/>
        </w:rPr>
        <w:tab/>
        <w:t>Thai (Native), English (Advanced), Japanese (Intermediate)</w:t>
      </w:r>
    </w:p>
    <w:p>
      <w:pPr>
        <w:keepNext/>
        <w:spacing w:before="220" w:after="50" w:line="184" w:lineRule="exact"/>
        <w:pBdr>
          <w:bottom w:val="single" w:sz="6" w:space="2" w:color="B9CCD1"/>
        </w:pBdr>
      </w:pPr>
      <w:r>
        <w:rPr>
          <w:rFonts w:ascii="Arial" w:hAnsi="Arial"/>
          <w:b/>
          <w:i w:val="0"/>
          <w:color w:val="3D727E"/>
          <w:sz w:val="17"/>
        </w:rPr>
        <w:t>Selected Publications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/>
          <w:i w:val="0"/>
          <w:color w:val="1A1A1A"/>
          <w:sz w:val="15"/>
        </w:rPr>
        <w:t xml:space="preserve">SiamGPT: Quality-First Fine-Tuning for Stable Thai Text Generation. </w:t>
      </w:r>
      <w:r>
        <w:rPr>
          <w:rFonts w:ascii="Arial" w:hAnsi="Arial"/>
          <w:b w:val="0"/>
          <w:i/>
          <w:color w:val="1A1A1A"/>
          <w:sz w:val="15"/>
        </w:rPr>
        <w:t>arXiv:2512.19455</w:t>
      </w:r>
      <w:r>
        <w:rPr>
          <w:rFonts w:ascii="Arial" w:hAnsi="Arial"/>
          <w:b w:val="0"/>
          <w:i w:val="0"/>
          <w:color w:val="1A1A1A"/>
          <w:sz w:val="15"/>
        </w:rPr>
        <w:t>, 2025.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/>
          <w:i w:val="0"/>
          <w:color w:val="1A1A1A"/>
          <w:sz w:val="15"/>
        </w:rPr>
        <w:t xml:space="preserve">OpenThaiGPT 1.6 and R1: Thai-Centric Open Source and Reasoning Large Language Models. </w:t>
      </w:r>
      <w:r>
        <w:rPr>
          <w:rFonts w:ascii="Arial" w:hAnsi="Arial"/>
          <w:b w:val="0"/>
          <w:i/>
          <w:color w:val="1A1A1A"/>
          <w:sz w:val="15"/>
        </w:rPr>
        <w:t>arXiv:2504.01789</w:t>
      </w:r>
      <w:r>
        <w:rPr>
          <w:rFonts w:ascii="Arial" w:hAnsi="Arial"/>
          <w:b w:val="0"/>
          <w:i w:val="0"/>
          <w:color w:val="1A1A1A"/>
          <w:sz w:val="15"/>
        </w:rPr>
        <w:t>, 2025.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/>
          <w:i w:val="0"/>
          <w:color w:val="1A1A1A"/>
          <w:sz w:val="15"/>
        </w:rPr>
        <w:t xml:space="preserve">LLaVAC: Fine-tuning LLaVA as a Multimodal Sentiment Classifier. </w:t>
      </w:r>
      <w:r>
        <w:rPr>
          <w:rFonts w:ascii="Arial" w:hAnsi="Arial"/>
          <w:b w:val="0"/>
          <w:i/>
          <w:color w:val="1A1A1A"/>
          <w:sz w:val="15"/>
        </w:rPr>
        <w:t>arXiv:2502.02938</w:t>
      </w:r>
      <w:r>
        <w:rPr>
          <w:rFonts w:ascii="Arial" w:hAnsi="Arial"/>
          <w:b w:val="0"/>
          <w:i w:val="0"/>
          <w:color w:val="1A1A1A"/>
          <w:sz w:val="15"/>
        </w:rPr>
        <w:t>, 2025.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/>
          <w:i w:val="0"/>
          <w:color w:val="1A1A1A"/>
          <w:sz w:val="15"/>
        </w:rPr>
        <w:t xml:space="preserve">Extreme Fine-tuning: A Novel and Fast Fine-tuning Approach for Text Classification. </w:t>
      </w:r>
      <w:r>
        <w:rPr>
          <w:rFonts w:ascii="Arial" w:hAnsi="Arial"/>
          <w:b w:val="0"/>
          <w:i/>
          <w:color w:val="1A1A1A"/>
          <w:sz w:val="15"/>
        </w:rPr>
        <w:t>EACL</w:t>
      </w:r>
      <w:r>
        <w:rPr>
          <w:rFonts w:ascii="Arial" w:hAnsi="Arial"/>
          <w:b w:val="0"/>
          <w:i w:val="0"/>
          <w:color w:val="1A1A1A"/>
          <w:sz w:val="15"/>
        </w:rPr>
        <w:t xml:space="preserve"> 2024.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/>
          <w:i w:val="0"/>
          <w:color w:val="1A1A1A"/>
          <w:sz w:val="15"/>
        </w:rPr>
        <w:t xml:space="preserve">LATTE: Lattice ATTentive Encoding for Character-based Word Segmentation. </w:t>
      </w:r>
      <w:r>
        <w:rPr>
          <w:rFonts w:ascii="Arial" w:hAnsi="Arial"/>
          <w:b w:val="0"/>
          <w:i/>
          <w:color w:val="1A1A1A"/>
          <w:sz w:val="15"/>
        </w:rPr>
        <w:t>Journal of Natural Language Processing</w:t>
      </w:r>
      <w:r>
        <w:rPr>
          <w:rFonts w:ascii="Arial" w:hAnsi="Arial"/>
          <w:b w:val="0"/>
          <w:i w:val="0"/>
          <w:color w:val="1A1A1A"/>
          <w:sz w:val="15"/>
        </w:rPr>
        <w:t xml:space="preserve"> 2023.</w:t>
      </w:r>
    </w:p>
    <w:p>
      <w:pPr>
        <w:keepNext/>
        <w:spacing w:before="220" w:after="50" w:line="184" w:lineRule="exact"/>
        <w:pBdr>
          <w:bottom w:val="single" w:sz="6" w:space="2" w:color="B9CCD1"/>
        </w:pBdr>
      </w:pPr>
      <w:r>
        <w:rPr>
          <w:rFonts w:ascii="Arial" w:hAnsi="Arial"/>
          <w:b/>
          <w:i w:val="0"/>
          <w:color w:val="3D727E"/>
          <w:sz w:val="17"/>
        </w:rPr>
        <w:t>Products and Projects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OpenThai 2.0 Legal: Open-weight Thai legal LLM, built with NVIDIA, BDI, and AIEAT</w:t>
      </w:r>
      <w:r>
        <w:rPr>
          <w:rFonts w:ascii="Arial" w:hAnsi="Arial"/>
          <w:b w:val="0"/>
          <w:i w:val="0"/>
          <w:color w:val="585858"/>
          <w:sz w:val="15"/>
        </w:rPr>
        <w:tab/>
        <w:t>Jul 2026 – Aug 2026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Built OpenThai 2.0 Legal with NVIDIA, BDI, and AIEAT on Nemotron-3-Nano-30B; released open-weight.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Targets Thai legal language, formal and precise, where general-purpose models fall short.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CIBbot: Legal advice and incident reporting, Royal Thai Police (CIB)</w:t>
      </w:r>
      <w:r>
        <w:rPr>
          <w:rFonts w:ascii="Arial" w:hAnsi="Arial"/>
          <w:b w:val="0"/>
          <w:i w:val="0"/>
          <w:color w:val="585858"/>
          <w:sz w:val="15"/>
        </w:rPr>
        <w:tab/>
        <w:t>Mar 2026 – Jun 2026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Led the public assistant that advises on law and cybercrime, then prepares and routes each citizen's report.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Built Tri-RAG (hybrid search + PageIndex + knowledge graph): 96.6% retrieval, 91.7% QA, 208-item legal eval.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Ran on-premise and air-gapped over 670 documents from 7 bureaus, with a 3.2s p95 first token.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OpenThaiGPT 1.6 &amp; R1: Thai-centric open-source reasoning LLMs</w:t>
      </w:r>
      <w:r>
        <w:rPr>
          <w:rFonts w:ascii="Arial" w:hAnsi="Arial"/>
          <w:b w:val="0"/>
          <w:i w:val="0"/>
          <w:color w:val="585858"/>
          <w:sz w:val="15"/>
        </w:rPr>
        <w:tab/>
        <w:t>Mar 2025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Built OTG 1.6 by task-arithmetic merging; beat same-base Typhoon2-72B on OpenThaiEval, 78.7 vs 77.2.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Built OTG-R1 on DeepSeek-R1-Distill-32B with LIMO training; beat DeepSeek-R1-70B on AIME24-TH, 56.7 vs 33.3.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Chinda 3: Enterprise knowledge platform — Chinda to ChindaX to Chinda 3</w:t>
      </w:r>
      <w:r>
        <w:rPr>
          <w:rFonts w:ascii="Arial" w:hAnsi="Arial"/>
          <w:b w:val="0"/>
          <w:i w:val="0"/>
          <w:color w:val="585858"/>
          <w:sz w:val="15"/>
        </w:rPr>
        <w:tab/>
        <w:t>Jan 2024 – Present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Led three generations of iApp's enterprise AI platform; ChindaX and Chinda 3 serve 2,000+ users.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Chinda 3 retrieves at 98.7% vs ~70% for chunk-based RAG, using adaptive hierarchical indexing from PageIndex.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Conversational AI for Banking: 70B Thai financial assistant for a banking group</w:t>
      </w:r>
      <w:r>
        <w:rPr>
          <w:rFonts w:ascii="Arial" w:hAnsi="Arial"/>
          <w:b w:val="0"/>
          <w:i w:val="0"/>
          <w:color w:val="585858"/>
          <w:sz w:val="15"/>
        </w:rPr>
        <w:tab/>
        <w:t>2024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Built a 70B Thai financial assistant for a major banking group — benchmarked above GPT-3.5, Gemini Pro, and Claude 3 Haiku on Thai exams — and cut answer latency 7.6s to 3.1s on TensorRT-LLM/Triton.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ASR Pro: Context-aware Thai ASR</w:t>
      </w:r>
      <w:r>
        <w:rPr>
          <w:rFonts w:ascii="Arial" w:hAnsi="Arial"/>
          <w:b w:val="0"/>
          <w:i w:val="0"/>
          <w:color w:val="585858"/>
          <w:sz w:val="15"/>
        </w:rPr>
        <w:tab/>
        <w:t>Aug 2024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Developed an approach enhancing ASR contextual awareness by integrating LLMs with prompt tuning into a fine-tuned ASR model.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Cut WER 3.12 points below Google STT on Thai Common Voice 17, running 1.3× faster.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NBTC Broadcast Compliance Screening: Thai TV ASR with violation classification</w:t>
      </w:r>
      <w:r>
        <w:rPr>
          <w:rFonts w:ascii="Arial" w:hAnsi="Arial"/>
          <w:b w:val="0"/>
          <w:i w:val="0"/>
          <w:color w:val="585858"/>
          <w:sz w:val="15"/>
        </w:rPr>
        <w:tab/>
        <w:t>Aug 2024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Built content-compliance screening for NBTC, Thailand's broadcast and telecom regulator.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Fine-tuned Whisper for Thai TV transcription (CER &lt; 0.05), then BERT to grade programmes safe, borderline, or violating at 95%+ F1.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Internal AI Serving Platform: Hybrid k3s across cloud and colo GPU datacenters</w:t>
      </w:r>
      <w:r>
        <w:rPr>
          <w:rFonts w:ascii="Arial" w:hAnsi="Arial"/>
          <w:b w:val="0"/>
          <w:i w:val="0"/>
          <w:color w:val="585858"/>
          <w:sz w:val="15"/>
        </w:rPr>
        <w:tab/>
        <w:t>Jul 2026 – Aug 2026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Co-designed a two-datacenter k3s cluster, 26 GPUs on 10 servers, running every AI service.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Cut AI cloud spend 46% alongside the migration.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Dual-Stage Face Anti-Spoofing: Active and passive liveness detection</w:t>
      </w:r>
      <w:r>
        <w:rPr>
          <w:rFonts w:ascii="Arial" w:hAnsi="Arial"/>
          <w:b w:val="0"/>
          <w:i w:val="0"/>
          <w:color w:val="585858"/>
          <w:sz w:val="15"/>
        </w:rPr>
        <w:tab/>
        <w:t>Oct 2024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Led development of a face anti-spoofing model with active liveness detection and passive spoof prevention.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Achieved iBeta Level 1 Presentation Attack Detection certification with 0% APCER and BPCER below 3%.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Passive Liveness and Deepfake Detection: For Bangkok Bank, with NEC</w:t>
      </w:r>
      <w:r>
        <w:rPr>
          <w:rFonts w:ascii="Arial" w:hAnsi="Arial"/>
          <w:b w:val="0"/>
          <w:i w:val="0"/>
          <w:color w:val="585858"/>
          <w:sz w:val="15"/>
        </w:rPr>
        <w:tab/>
        <w:t>Oct 2024 – Present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Developed passive liveness detection with NEC for Bangkok Bank, screening face spoofing and deepfakes.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ASRx: Real-time speech-to-text with instant translation</w:t>
      </w:r>
      <w:r>
        <w:rPr>
          <w:rFonts w:ascii="Arial" w:hAnsi="Arial"/>
          <w:b w:val="0"/>
          <w:i w:val="0"/>
          <w:color w:val="585858"/>
          <w:sz w:val="15"/>
        </w:rPr>
        <w:tab/>
        <w:t>Jun 2025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Led a real-time EN/TH/ZH speech-to-text and translation system, deployed live at large conferences.</w:t>
      </w:r>
    </w:p>
    <w:p>
      <w:pPr>
        <w:tabs>
          <w:tab w:pos="9865" w:val="right"/>
        </w:tabs>
        <w:spacing w:before="154" w:after="0" w:line="184" w:lineRule="exact"/>
      </w:pPr>
      <w:r>
        <w:rPr>
          <w:rFonts w:ascii="Arial" w:hAnsi="Arial"/>
          <w:b/>
          <w:i w:val="0"/>
          <w:color w:val="1A1A1A"/>
          <w:sz w:val="15"/>
        </w:rPr>
        <w:t>LLM Chatbot for Elderly Care: RAG-based companion and consultation assistant</w:t>
      </w:r>
      <w:r>
        <w:rPr>
          <w:rFonts w:ascii="Arial" w:hAnsi="Arial"/>
          <w:b w:val="0"/>
          <w:i w:val="0"/>
          <w:color w:val="585858"/>
          <w:sz w:val="15"/>
        </w:rPr>
        <w:tab/>
        <w:t>Oct 2024</w:t>
      </w:r>
    </w:p>
    <w:p>
      <w:pPr>
        <w:tabs>
          <w:tab w:pos="400" w:val="left"/>
        </w:tabs>
        <w:spacing w:before="44" w:after="0" w:line="184" w:lineRule="exact"/>
        <w:ind w:left="400" w:hanging="221"/>
        <w:jc w:val="both"/>
      </w:pPr>
      <w:r>
        <w:rPr>
          <w:rFonts w:ascii="Arial" w:hAnsi="Arial"/>
          <w:color w:val="3D727E"/>
          <w:sz w:val="11"/>
        </w:rPr>
        <w:t>▪</w:t>
        <w:tab/>
      </w:r>
      <w:r>
        <w:rPr>
          <w:rFonts w:ascii="Arial" w:hAnsi="Arial"/>
          <w:b w:val="0"/>
          <w:i w:val="0"/>
          <w:color w:val="1A1A1A"/>
          <w:sz w:val="15"/>
        </w:rPr>
        <w:t>Aligned an open-source LLM with SFT/DPO/KTO into a RAG companion for elderly users, with LLM agents handling data synthesis and auto-evaluation.</w:t>
      </w:r>
    </w:p>
    <w:p>
      <w:pPr>
        <w:keepNext/>
        <w:spacing w:before="220" w:after="50" w:line="184" w:lineRule="exact"/>
        <w:pBdr>
          <w:bottom w:val="single" w:sz="6" w:space="2" w:color="B9CCD1"/>
        </w:pBdr>
      </w:pPr>
      <w:r>
        <w:rPr>
          <w:rFonts w:ascii="Arial" w:hAnsi="Arial"/>
          <w:b/>
          <w:i w:val="0"/>
          <w:color w:val="3D727E"/>
          <w:sz w:val="14"/>
        </w:rPr>
        <w:t>Additional work</w:t>
      </w:r>
    </w:p>
    <w:p>
      <w:pPr>
        <w:tabs>
          <w:tab w:pos="2302" w:val="left"/>
        </w:tabs>
        <w:spacing w:before="154" w:after="0" w:line="184" w:lineRule="exact"/>
        <w:ind w:left="2302" w:hanging="2001"/>
      </w:pPr>
      <w:r>
        <w:rPr>
          <w:rFonts w:ascii="Arial" w:hAnsi="Arial"/>
          <w:b/>
          <w:i w:val="0"/>
          <w:color w:val="1A1A1A"/>
          <w:sz w:val="15"/>
        </w:rPr>
        <w:t>Open models</w:t>
      </w:r>
      <w:r>
        <w:rPr>
          <w:rFonts w:ascii="Arial" w:hAnsi="Arial"/>
          <w:b w:val="0"/>
          <w:i w:val="0"/>
          <w:color w:val="1A1A1A"/>
          <w:sz w:val="15"/>
        </w:rPr>
        <w:tab/>
        <w:t>ThaiLLM (advising BDI on national LLM serving)  ·  ChindaMT (4B Thai–English MT, 62.3% LC win rate)  ·  one.iapp and open.iapp (commercial APIs + open weights)  ·  ETDA national OCR standard (co-author)</w:t>
      </w:r>
    </w:p>
    <w:p>
      <w:pPr>
        <w:tabs>
          <w:tab w:pos="2302" w:val="left"/>
        </w:tabs>
        <w:spacing w:before="92" w:after="0" w:line="184" w:lineRule="exact"/>
        <w:ind w:left="2302" w:hanging="2001"/>
      </w:pPr>
      <w:r>
        <w:rPr>
          <w:rFonts w:ascii="Arial" w:hAnsi="Arial"/>
          <w:b/>
          <w:i w:val="0"/>
          <w:color w:val="1A1A1A"/>
          <w:sz w:val="15"/>
        </w:rPr>
        <w:t>LLM &amp; speech</w:t>
      </w:r>
      <w:r>
        <w:rPr>
          <w:rFonts w:ascii="Arial" w:hAnsi="Arial"/>
          <w:b w:val="0"/>
          <w:i w:val="0"/>
          <w:color w:val="1A1A1A"/>
          <w:sz w:val="15"/>
        </w:rPr>
        <w:tab/>
        <w:t>ChindaLLM (open-source Thai reasoning LLM)  ·  SpeechFlow (Thai–English transcription, 10K+ users)  ·  Thai–English TTS (phoneme-level fine-tuning)  ·  ChindaTTS (voice cloning, sub-second streaming)  ·  ChindaGo (on-device iOS assistant, any open model)</w:t>
      </w:r>
    </w:p>
    <w:p>
      <w:pPr>
        <w:tabs>
          <w:tab w:pos="2302" w:val="left"/>
        </w:tabs>
        <w:spacing w:before="92" w:after="0" w:line="184" w:lineRule="exact"/>
        <w:ind w:left="2302" w:hanging="2001"/>
      </w:pPr>
      <w:r>
        <w:rPr>
          <w:rFonts w:ascii="Arial" w:hAnsi="Arial"/>
          <w:b/>
          <w:i w:val="0"/>
          <w:color w:val="1A1A1A"/>
          <w:sz w:val="15"/>
        </w:rPr>
        <w:t>Vision</w:t>
      </w:r>
      <w:r>
        <w:rPr>
          <w:rFonts w:ascii="Arial" w:hAnsi="Arial"/>
          <w:b w:val="0"/>
          <w:i w:val="0"/>
          <w:color w:val="1A1A1A"/>
          <w:sz w:val="15"/>
        </w:rPr>
        <w:tab/>
        <w:t>Multimodal sentiment analysis (CLIP + BERT)</w:t>
      </w:r>
    </w:p>
    <w:p>
      <w:pPr>
        <w:tabs>
          <w:tab w:pos="2302" w:val="left"/>
        </w:tabs>
        <w:spacing w:before="92" w:after="0" w:line="184" w:lineRule="exact"/>
        <w:ind w:left="2302" w:hanging="2001"/>
      </w:pPr>
      <w:r>
        <w:rPr>
          <w:rFonts w:ascii="Arial" w:hAnsi="Arial"/>
          <w:b/>
          <w:i w:val="0"/>
          <w:color w:val="1A1A1A"/>
          <w:sz w:val="15"/>
        </w:rPr>
        <w:t>Research</w:t>
      </w:r>
      <w:r>
        <w:rPr>
          <w:rFonts w:ascii="Arial" w:hAnsi="Arial"/>
          <w:b w:val="0"/>
          <w:i w:val="0"/>
          <w:color w:val="1A1A1A"/>
          <w:sz w:val="15"/>
        </w:rPr>
        <w:tab/>
        <w:t>Thai researcher knowledge graph  ·  Simple2In1 (caption fusion for Thai)  ·  First Thai Treebank (still used in national competitions)</w:t>
      </w:r>
    </w:p>
    <w:sectPr w:rsidR="00FC693F" w:rsidRPr="0006063C" w:rsidSect="00034616">
      <w:pgSz w:w="11906" w:h="16838"/>
      <w:pgMar w:top="925" w:right="1020" w:bottom="92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84" w:lineRule="exact"/>
    </w:pPr>
    <w:rPr>
      <w:rFonts w:ascii="Arial" w:hAnsi="Arial" w:eastAsia="Arial"/>
      <w:color w:val="1A1A1A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