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B66D">
      <w:pPr>
        <w:pStyle w:val="4"/>
        <w:spacing w:before="120" w:line="234" w:lineRule="auto"/>
        <w:ind w:left="26"/>
        <w:outlineLvl w:val="0"/>
        <w:rPr>
          <w:sz w:val="45"/>
          <w:szCs w:val="45"/>
          <w:lang w:eastAsia="zh-CN"/>
        </w:rPr>
      </w:pPr>
      <w:r>
        <w:rPr>
          <w:b/>
          <w:bCs/>
          <w:color w:val="111827"/>
          <w:sz w:val="45"/>
          <w:szCs w:val="45"/>
          <w:lang w:eastAsia="zh-CN"/>
        </w:rPr>
        <w:t>softw</w:t>
      </w:r>
      <w:r>
        <w:rPr>
          <w:b/>
          <w:bCs/>
          <w:color w:val="111827"/>
          <w:spacing w:val="9"/>
          <w:sz w:val="45"/>
          <w:szCs w:val="45"/>
          <w:lang w:eastAsia="zh-CN"/>
        </w:rPr>
        <w:t xml:space="preserve"> 中期审查核对清单</w:t>
      </w:r>
    </w:p>
    <w:p w14:paraId="31DD754D">
      <w:pPr>
        <w:pStyle w:val="4"/>
        <w:spacing w:before="90" w:line="216" w:lineRule="auto"/>
        <w:ind w:left="2"/>
        <w:rPr>
          <w:lang w:eastAsia="zh-CN"/>
        </w:rPr>
      </w:pPr>
      <w:r>
        <w:rPr>
          <w:color w:val="4B5563"/>
          <w:spacing w:val="6"/>
          <w:lang w:eastAsia="zh-CN"/>
        </w:rPr>
        <w:t xml:space="preserve">仓库                  </w:t>
      </w:r>
      <w:r>
        <w:fldChar w:fldCharType="begin"/>
      </w:r>
      <w:r>
        <w:instrText xml:space="preserve"> HYPERLINK "https://github.com/tchen-0213/softw" </w:instrText>
      </w:r>
      <w:r>
        <w:fldChar w:fldCharType="separate"/>
      </w:r>
      <w:r>
        <w:rPr>
          <w:color w:val="4B5563"/>
          <w:lang w:eastAsia="zh-CN"/>
        </w:rPr>
        <w:t>https</w:t>
      </w:r>
      <w:r>
        <w:rPr>
          <w:color w:val="4B5563"/>
          <w:spacing w:val="6"/>
          <w:lang w:eastAsia="zh-CN"/>
        </w:rPr>
        <w:t>://</w:t>
      </w:r>
      <w:r>
        <w:rPr>
          <w:color w:val="4B5563"/>
          <w:lang w:eastAsia="zh-CN"/>
        </w:rPr>
        <w:t>github</w:t>
      </w:r>
      <w:r>
        <w:rPr>
          <w:color w:val="4B5563"/>
          <w:spacing w:val="6"/>
          <w:lang w:eastAsia="zh-CN"/>
        </w:rPr>
        <w:t>.</w:t>
      </w:r>
      <w:r>
        <w:rPr>
          <w:color w:val="4B5563"/>
          <w:lang w:eastAsia="zh-CN"/>
        </w:rPr>
        <w:t>com</w:t>
      </w:r>
      <w:r>
        <w:rPr>
          <w:color w:val="4B5563"/>
          <w:spacing w:val="6"/>
          <w:lang w:eastAsia="zh-CN"/>
        </w:rPr>
        <w:t>/</w:t>
      </w:r>
      <w:r>
        <w:rPr>
          <w:color w:val="4B5563"/>
          <w:lang w:eastAsia="zh-CN"/>
        </w:rPr>
        <w:t>tchen</w:t>
      </w:r>
      <w:r>
        <w:rPr>
          <w:color w:val="4B5563"/>
          <w:spacing w:val="6"/>
          <w:lang w:eastAsia="zh-CN"/>
        </w:rPr>
        <w:t>-0213/</w:t>
      </w:r>
      <w:r>
        <w:rPr>
          <w:color w:val="4B5563"/>
          <w:lang w:eastAsia="zh-CN"/>
        </w:rPr>
        <w:t>softw</w:t>
      </w:r>
      <w:r>
        <w:rPr>
          <w:color w:val="4B5563"/>
          <w:lang w:eastAsia="zh-CN"/>
        </w:rPr>
        <w:fldChar w:fldCharType="end"/>
      </w:r>
    </w:p>
    <w:p w14:paraId="17E9CEA3">
      <w:pPr>
        <w:pStyle w:val="4"/>
        <w:spacing w:before="65" w:line="232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生成日期           2026-08-31</w:t>
      </w:r>
    </w:p>
    <w:p w14:paraId="7FA8F783">
      <w:pPr>
        <w:pStyle w:val="4"/>
        <w:spacing w:before="42" w:line="229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依据                  GitHub main 分支：06_defense/小学期交付总览.md、微服务方案、图表清单、</w:t>
      </w:r>
      <w:r>
        <w:rPr>
          <w:color w:val="4B5563"/>
          <w:lang w:eastAsia="zh-CN"/>
        </w:rPr>
      </w:r>
      <w:r>
        <w:rPr>
          <w:color w:val="4B5563"/>
          <w:spacing w:val="-43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20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4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-18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51"/>
          <w:sz w:val="18"/>
          <w:szCs w:val="18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42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38"/>
          <w:lang w:eastAsia="zh-CN"/>
        </w:rPr>
      </w:r>
      <w:r>
        <w:rPr>
          <w:color w:val="4B5563"/>
          <w:spacing w:val="3"/>
          <w:lang w:eastAsia="zh-CN"/>
        </w:rPr>
      </w:r>
    </w:p>
    <w:p w14:paraId="102C548E">
      <w:pPr>
        <w:pStyle w:val="4"/>
        <w:spacing w:before="41" w:line="189" w:lineRule="auto"/>
        <w:ind w:left="1523"/>
        <w:rPr>
          <w:lang w:eastAsia="zh-CN"/>
        </w:rPr>
      </w:pPr>
      <w:r>
        <w:rPr>
          <w:color w:val="4B5563"/>
          <w:spacing w:val="6"/>
          <w:lang w:eastAsia="zh-CN"/>
        </w:rPr>
        <w:t>04_tests/README.md、04_tests/reports/tests/测试报告-小学期.md 和验证记录。</w:t>
      </w:r>
    </w:p>
    <w:p w14:paraId="0FB477B9">
      <w:pPr>
        <w:pStyle w:val="4"/>
        <w:spacing w:before="147" w:line="915" w:lineRule="exact"/>
      </w:pPr>
      <w:bookmarkStart w:id="0" w:name="_GoBack"/>
      <w:bookmarkEnd w:id="0"/>
      <w:r>
        <w:rPr>
          <w:position w:val="-18"/>
        </w:rPr>
        <w:pict>
          <v:group id="_x0000_s1026" o:spid="_x0000_s1026" o:spt="203" style="height:45.75pt;width:510pt;" coordsize="10200,915">
            <o:lock v:ext="edit"/>
            <v:rect id="_x0000_s1027" o:spid="_x0000_s1027" o:spt="1" style="position:absolute;left:0;top:0;height:915;width:10200;" fillcolor="#EFF6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222;top:176;height:562;width:97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D361E6">
                    <w:pPr>
                      <w:spacing w:before="19" w:line="212" w:lineRule="auto"/>
                      <w:ind w:left="24" w:right="20" w:hanging="4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左侧方框供现场勾选；“状态”按仓库材料整理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7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，最终通过情况以教师或助教现场记录为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>准。本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22"/>
                        <w:w w:val="10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z w:val="20"/>
                        <w:szCs w:val="20"/>
                        <w:lang w:eastAsia="zh-CN"/>
                      </w:rPr>
                      <w:t>PDF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 xml:space="preserve"> 仅作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为审查清单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，不改写仓库内容。</w:t>
                    </w:r>
                  </w:p>
                </w:txbxContent>
              </v:textbox>
            </v:shape>
            <v:shape id="_x0000_s1029" o:spid="_x0000_s1029" o:spt="75" type="#_x0000_t75" style="position:absolute;left:0;top:0;height:915;width: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w10:wrap type="none"/>
            <w10:anchorlock/>
          </v:group>
        </w:pict>
      </w:r>
    </w:p>
    <w:p w14:paraId="1961A729">
      <w:pPr>
        <w:spacing w:line="36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9727">
      <w:pPr>
        <w:pStyle w:val="4"/>
        <w:spacing w:before="120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5"/>
          <w:sz w:val="28"/>
          <w:szCs w:val="28"/>
        </w:rPr>
        <w:t>一、</w:t>
      </w:r>
      <w:r>
        <w:rPr>
          <w:b/>
          <w:bCs/>
          <w:color w:val="0F172A"/>
          <w:spacing w:val="-54"/>
          <w:sz w:val="28"/>
          <w:szCs w:val="28"/>
        </w:rPr>
        <w:t xml:space="preserve"> </w:t>
      </w:r>
      <w:r>
        <w:rPr>
          <w:b/>
          <w:bCs/>
          <w:color w:val="0F172A"/>
          <w:spacing w:val="5"/>
          <w:sz w:val="28"/>
          <w:szCs w:val="28"/>
        </w:rPr>
        <w:t>中期审查总项</w:t>
      </w:r>
    </w:p>
    <w:p w14:paraId="5EF1830A">
      <w:pPr>
        <w:spacing w:line="110" w:lineRule="exact"/>
      </w:pPr>
    </w:p>
    <w:tbl>
      <w:tblPr>
        <w:tblStyle w:val="5"/>
        <w:tblW w:w="10632" w:type="dxa"/>
        <w:tblInd w:w="-276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2410"/>
        <w:gridCol w:w="7087"/>
      </w:tblGrid>
      <w:tr w14:paraId="62C4354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  <w:shd w:val="clear" w:color="auto" w:fill="F3F4F6"/>
          </w:tcPr>
          <w:p w14:paraId="2A7FB9F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审查项</w:t>
            </w:r>
          </w:p>
        </w:tc>
        <w:tc>
          <w:tcPr>
            <w:tcW w:w="2410" w:type="dxa"/>
            <w:shd w:val="clear" w:color="auto" w:fill="F3F4F6"/>
          </w:tcPr>
          <w:p w14:paraId="010EE1A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出示或执行的证据</w:t>
            </w:r>
          </w:p>
        </w:tc>
        <w:tc>
          <w:tcPr>
            <w:tcW w:w="7087" w:type="dxa"/>
            <w:shd w:val="clear" w:color="auto" w:fill="F3F4F6"/>
          </w:tcPr>
          <w:p w14:paraId="32F45741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状态</w:t>
            </w:r>
          </w:p>
        </w:tc>
      </w:tr>
      <w:tr w14:paraId="4E7A4B5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D8C1EA">
            <w:pPr>
              <w:spacing w:before="161" w:line="188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原系统可启动</w:t>
            </w:r>
          </w:p>
          <w:p w14:paraId="2D93CDD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证明单体系统仍可复现。</w:t>
            </w:r>
          </w:p>
        </w:tc>
        <w:tc>
          <w:tcPr>
            <w:tcW w:w="2410" w:type="dxa"/>
          </w:tcPr>
          <w:p w14:paraId="1A4D059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"README.md"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README.md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17DCC3E2">
            <w:pPr>
              <w:pStyle w:val="6"/>
              <w:spacing w:before="100" w:beforeAutospacing="1" w:after="100" w:afterAutospacing="1"/>
              <w:ind w:left="210" w:leftChars="100" w:right="210" w:rightChars="100" w:firstLine="41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"03_devops/scripts/verify-local.sh"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03_devops/scripts/verify-local.sh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verify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compose:up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，访问前端和</w:t>
            </w:r>
          </w:p>
          <w:p w14:paraId="0B536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/api/health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0F022AB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已对项目原始版本进行启动验证，确认系统能够正常运行。启动后前端页面可正常访问，系统核心运行环境与基本功能保持可用。</w:t>
            </w:r>
          </w:p>
          <w:p w14:paraId="0E087A1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Project [D1-01]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启动原系统并核对运行环境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中完成现场验证并留存截图。截图包含原系统启动、运行环境及访问结果。</w:t>
            </w:r>
          </w:p>
          <w:p w14:paraId="6721B8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系统启动截图：</w:t>
            </w:r>
          </w:p>
          <w:p w14:paraId="612E70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29685" cy="1870075"/>
                  <wp:effectExtent l="0" t="0" r="0" b="0"/>
                  <wp:docPr id="2133232562" name="图片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2562" name="图片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719" cy="191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DA31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首页截图：</w:t>
            </w:r>
          </w:p>
          <w:p w14:paraId="1AABDE4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203575" cy="2261870"/>
                  <wp:effectExtent l="0" t="0" r="0" b="5080"/>
                  <wp:docPr id="1063830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30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259" cy="228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5743F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19BF6BB">
            <w:pPr>
              <w:spacing w:before="104" w:line="238" w:lineRule="auto"/>
              <w:ind w:left="127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Git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 xml:space="preserve"> 标签</w:t>
            </w:r>
          </w:p>
          <w:p w14:paraId="5755046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保留原系统基线。</w:t>
            </w:r>
          </w:p>
        </w:tc>
        <w:tc>
          <w:tcPr>
            <w:tcW w:w="2410" w:type="dxa"/>
          </w:tcPr>
          <w:p w14:paraId="7395C9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远程标签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monolith-start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；辅助脚本</w:t>
            </w:r>
          </w:p>
          <w:p w14:paraId="54666E8D">
            <w:pPr>
              <w:pStyle w:val="6"/>
              <w:spacing w:before="100" w:beforeAutospacing="1" w:after="100" w:afterAutospacing="1"/>
              <w:ind w:left="210" w:leftChars="100" w:right="210" w:rightChars="100" w:firstLine="37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"03_devops/scripts/tag-monolith.sh"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03_devops/scripts/tag-monolith.sh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。现场打开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G 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页面核对。</w:t>
            </w:r>
          </w:p>
        </w:tc>
        <w:tc>
          <w:tcPr>
            <w:tcW w:w="7087" w:type="dxa"/>
          </w:tcPr>
          <w:p w14:paraId="591165F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仓库中保留原系统基线版本，并通过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 Tag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对对应版本进行标记，便于后续微服务拆分过程中进行版本追溯与对比。</w:t>
            </w:r>
          </w:p>
          <w:p w14:paraId="051E688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页面：</w:t>
            </w:r>
          </w:p>
          <w:p w14:paraId="78ABF1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83355" cy="1880235"/>
                  <wp:effectExtent l="0" t="0" r="0" b="5715"/>
                  <wp:docPr id="1675479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79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887" cy="188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7365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44718B">
            <w:pPr>
              <w:spacing w:before="165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文档和图</w:t>
            </w:r>
          </w:p>
          <w:p w14:paraId="73C49DE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三份说明书、三级模型和中期必备图。</w:t>
            </w:r>
          </w:p>
        </w:tc>
        <w:tc>
          <w:tcPr>
            <w:tcW w:w="2410" w:type="dxa"/>
          </w:tcPr>
          <w:p w14:paraId="58E9F6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下需求、概要、详细设计说明书；</w:t>
            </w:r>
          </w:p>
          <w:p w14:paraId="22ABA95F">
            <w:pPr>
              <w:pStyle w:val="6"/>
              <w:spacing w:before="100" w:beforeAutospacing="1" w:after="100" w:afterAutospacing="1"/>
              <w:ind w:left="210" w:leftChars="100" w:right="210" w:rightChars="100" w:firstLine="3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02_docs/images/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40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张必需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SVG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ORDER-STATE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02_docs/models/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Mermaid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源。</w:t>
            </w:r>
          </w:p>
        </w:tc>
        <w:tc>
          <w:tcPr>
            <w:tcW w:w="7087" w:type="dxa"/>
          </w:tcPr>
          <w:p w14:paraId="3E1183B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项目已建立完整的文档与模型目录，对需求分析、系统设计及后续实现提供对应文档支撑。同时补充系统架构图、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UML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模型及相关设计图，确保系统需求、设计与实现之间具有对应关系。</w:t>
            </w:r>
          </w:p>
          <w:p w14:paraId="5087AD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文件目录：</w:t>
            </w:r>
          </w:p>
          <w:p w14:paraId="4B04D08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04030" cy="2141855"/>
                  <wp:effectExtent l="0" t="0" r="1270" b="0"/>
                  <wp:docPr id="24387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743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988" cy="21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7D24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01-REQ-USECASE.svg</w:t>
            </w:r>
          </w:p>
          <w:p w14:paraId="118436F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需求层：用例模型</w:t>
            </w:r>
          </w:p>
          <w:p w14:paraId="57945CA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031999" cy="2951999"/>
                  <wp:effectExtent l="0" t="0" r="1905" b="0"/>
                  <wp:docPr id="2145693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933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9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2C8E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12-ARCH-COMP.svg</w:t>
            </w:r>
          </w:p>
          <w:p w14:paraId="04B9C66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概要设计：系统架构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组件模型</w:t>
            </w:r>
          </w:p>
          <w:p w14:paraId="40EC0C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771265" cy="4331970"/>
                  <wp:effectExtent l="0" t="0" r="635" b="0"/>
                  <wp:docPr id="1576981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817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95196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22-DESIGN-CLASS.svg</w:t>
            </w:r>
          </w:p>
          <w:p w14:paraId="54BDACD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详细设计：设计类模型</w:t>
            </w:r>
          </w:p>
          <w:p w14:paraId="2E8D6CE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28795" cy="1332230"/>
                  <wp:effectExtent l="0" t="0" r="0" b="1270"/>
                  <wp:docPr id="184145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5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859" cy="133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补充后的完整范围（UC01–UC12）：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保留原 UC01–UC09；新增 UC10 查询订单与物流、UC11 取消订单并恢复库存、UC12 查看公开店铺与卖家信用。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每个新增用例均已补需求说明、系统级/组件级/对象级顺序图、代码模块、单元/API/E2E 测试编号和当前结果。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当前共 40 张必需图（12 个用例各 3 张 + 总用例图、概念类图、组件图、类图），另保留订单状态图和微服务划分图，共 42 张 SVG 与 42 个 Mermaid 源文件。</w:t>
            </w:r>
          </w:p>
          <w:p>
            <w:pPr>
              <w:spacing w:after="20"/>
            </w:pPr>
            <w:hyperlink r:id="rId31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12 用例清单与追溯表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2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需求说明书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3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概要设计说明书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4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详细设计说明书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5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42 张图清单</w:t>
              </w:r>
            </w:hyperlink>
          </w:p>
        </w:tc>
      </w:tr>
      <w:tr w14:paraId="51F0603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2DF47D3A">
            <w:pPr>
              <w:spacing w:before="154" w:line="187" w:lineRule="auto"/>
              <w:ind w:left="124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  <w:lang w:eastAsia="zh-CN"/>
              </w:rPr>
              <w:t>三类测试</w:t>
            </w:r>
          </w:p>
          <w:p w14:paraId="1774F1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单元/组件/规则、接口/API、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C7346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浏览器 E2E，另有微服务与性能测试。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2410" w:type="dxa"/>
          </w:tcPr>
          <w:p w14:paraId="6D6B52A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backend/tests/、frontend/tests/、frontend/e2e/、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494EE1F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services/*/*.test.js、04_tests/performance/、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23F2F45">
            <w:pPr>
              <w:pStyle w:val="6"/>
              <w:spacing w:before="100" w:beforeAutospacing="1" w:after="100" w:afterAutospacing="1"/>
              <w:ind w:left="210" w:leftChars="100" w:right="210" w:rightChars="100" w:firstLine="29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04_tests/reports/tests/测试报告-小学期.md；覆盖 UC01-UC12。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7087" w:type="dxa"/>
          </w:tcPr>
          <w:p w14:paraId="65D71F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原 UC01-UC09 基线自动化测试共 212 条：前端 94 条（Vitest 90、E2E 4），后端单体 93 条（单元/安全/控制器 61、API 32），微服务/网关 25 条。原基线前端覆盖率为语句 94.30%、分支 83.63%、函数 94.33%、行 94.30%，四项均超过 80% 门禁。原基线 npm run verify 本机验证后端 61 条、前端 90 条及生产构建全部通过。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5C5053C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既有 API 自动化记录：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03E9AE6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53230" cy="2710815"/>
                  <wp:effectExtent l="0" t="0" r="0" b="0"/>
                  <wp:docPr id="1092325931" name="图片 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325931" name="图片 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896" cy="272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D66D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既有浏览器 E2E 记录：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D055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04970" cy="1760855"/>
                  <wp:effectExtent l="0" t="0" r="5080" b="0"/>
                  <wp:docPr id="1330969052" name="图片 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969052" name="图片 4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89" cy="176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UC10–UC12 测试补充：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新增前端单元/组件测试 3 条，本机 16 个文件、93/93 通过；新增页面 E2E 2 条，完整套件由 4 条扩展为 6 条。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npm run verify 已实测：后端 61/61、前端 93/93、Vite 1880 个模块生产构建通过；API 父入口在纯单元命令中按设计跳过 1 项。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覆盖率已把 OrderPage 和 PublicShopPage 纳入门禁：语句 92.77%、分支 81.11%、函数 88.52%、行 92.77%。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GitHub Actions 已在隔离 MySQL 环境执行完整 6 条浏览器流程，结果为 6/6 通过（15.0 秒）；E2E-TC10/11 与 E2E-TC12 均通过。证据：</w:t>
            </w:r>
            <w:hyperlink r:id="rId56">
              <w:r>
                <w:rPr>
                  <w:color w:val="0563C1"/>
                  <w:u w:val="single"/>
                </w:rPr>
                <w:t>browser-e2e 作业</w:t>
              </w:r>
            </w:hyperlink>
          </w:p>
          <w:p>
            <w:pPr>
              <w:spacing w:after="20"/>
            </w:pPr>
            <w:hyperlink r:id="rId36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新增组件测试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7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新增 E2E 流程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38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完整测试报告</w:t>
              </w:r>
            </w:hyperlink>
          </w:p>
        </w:tc>
      </w:tr>
      <w:tr w14:paraId="4FAF80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118D3926">
            <w:pPr>
              <w:spacing w:before="169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容器化</w:t>
            </w:r>
          </w:p>
          <w:p w14:paraId="71D60E7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前端、后端、数据库可由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Docker/Compose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</w:t>
            </w:r>
          </w:p>
          <w:p w14:paraId="3BF4E24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动。</w:t>
            </w:r>
          </w:p>
        </w:tc>
        <w:tc>
          <w:tcPr>
            <w:tcW w:w="2410" w:type="dxa"/>
          </w:tcPr>
          <w:p w14:paraId="3C98FC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backend/Dockerfile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frontend/Dockerfile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54227EF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</w:t>
            </w:r>
          </w:p>
          <w:p w14:paraId="4A6DCF2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-f 03_devops/docker-compose.yml up -d -- build --wait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16B3CE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容器化配置，并通过自动化流水线对容器镜像进行构建验证。流水线执行结果显示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镜像构建任务正常完成，并进一步完成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部署及服务健康检查，验证了容器化部署方案的可行性。</w:t>
            </w:r>
          </w:p>
          <w:p w14:paraId="71B1DE7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66845" cy="2263140"/>
                  <wp:effectExtent l="0" t="0" r="0" b="3810"/>
                  <wp:docPr id="202469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94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75" cy="226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容器化逐项验收（按老师 8 分项拆开）：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前端：frontend/Dockerfile；后端：backend/Dockerfile；数据库：mysql:8 官方镜像，均由 03_devops/docker-compose.yml 编排。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换机初始化：npm run env:init 生成环境配置；MySQL 首次启动自动执行 03_devops/database/init/001_database.sql，后端再执行版本化迁移和测试数据脚本。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启动命令：docker compose --env-file .env -f 03_devops/docker-compose.yml up -d --build --wait。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验收结果应同时看到 frontend、backend、mysql 三个容器运行/健康；/api/health 返回 status=ok、database=ok；前端首页 HTTP 200。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现有 Compose ps 和浏览器首页截图可沿用；尚需补 2 张现场图：后端 /api/health JSON、数据库迁移状态（001/002/003 均为 applied）。</w:t>
            </w:r>
          </w:p>
          <w:p>
            <w:pPr>
              <w:spacing w:after="20"/>
            </w:pPr>
            <w:hyperlink r:id="rId39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README 启动说明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0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单体 Compose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1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数据库初始化脚本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2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本地验证脚本</w:t>
              </w:r>
            </w:hyperlink>
          </w:p>
        </w:tc>
      </w:tr>
      <w:tr w14:paraId="64A2EE6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7D931784">
            <w:pPr>
              <w:spacing w:before="128" w:line="237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 xml:space="preserve">原系统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CI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CD</w:t>
            </w:r>
          </w:p>
          <w:p w14:paraId="0EFA20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测试失败时阻断镜像构建和部署。</w:t>
            </w:r>
          </w:p>
        </w:tc>
        <w:tc>
          <w:tcPr>
            <w:tcW w:w="2410" w:type="dxa"/>
          </w:tcPr>
          <w:p w14:paraId="2CC1CB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.github/workflows/ci-cd.yml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成功运行记录；验证记录说明后端测试、前端构建、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、微服务测试通过后才进入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Docker/Kubernetes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69D7424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自动化流水线，将代码检查、测试、构建、容器镜像生成及部署等环节纳入统一流程。通过流水线成功执行记录，验证各阶段能够按照既定流程自动完成，为后续持续集成与持续交付提供支撑。</w:t>
            </w:r>
          </w:p>
          <w:p w14:paraId="036C14D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成功页面：</w:t>
            </w:r>
          </w:p>
          <w:p w14:paraId="21AF7ED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40810" cy="2463165"/>
                  <wp:effectExtent l="0" t="0" r="2540" b="0"/>
                  <wp:docPr id="350266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68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326" cy="246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CI/CD 完整门禁与可点击证据：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push 后按依赖顺序执行后端/API、前端单元与覆盖率、浏览器 E2E、微服务测试，再构建带 github.sha 版本标签的镜像，部署 Kind Kubernetes 并健康检查。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docker-build 依赖全部测试作业，kubernetes-deploy 依赖 docker-build；任何前置测试失败，镜像和部署均不会继续。</w:t>
            </w:r>
          </w:p>
          <w:p>
            <w:pPr>
              <w:spacing w:after="20"/>
              <w:ind w:left="85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• PR #35 验证运行中的后端、前端覆盖率、浏览器 E2E、微服务测试和镜像构建均成功；Kubernetes 部署按工作流规则在合入 main 后执行。最新验证：</w:t>
            </w:r>
            <w:hyperlink r:id="rId57">
              <w:r>
                <w:rPr>
                  <w:color w:val="0563C1"/>
                  <w:u w:val="single"/>
                </w:rPr>
                <w:t>Actions 33365634714</w:t>
              </w:r>
            </w:hyperlink>
          </w:p>
          <w:p>
            <w:pPr>
              <w:spacing w:after="20"/>
            </w:pPr>
            <w:hyperlink r:id="rId43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CI/CD 工作流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4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既有全绿运行 #58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5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失败阻断记录</w:t>
              </w:r>
            </w:hyperlink>
            <w:r>
              <w:rPr>
                <w:rFonts w:ascii="Microsoft YaHei" w:hAnsi="Microsoft YaHei" w:eastAsia="Microsoft YaHei"/>
                <w:b w:val="0"/>
                <w:sz w:val="17"/>
              </w:rPr>
              <w:t>；</w:t>
            </w:r>
            <w:hyperlink r:id="rId46">
              <w:r>
                <w:rPr>
                  <w:color w:val="0563C1"/>
                  <w:u w:val="single"/>
                  <w:rFonts w:ascii="Microsoft YaHei" w:hAnsi="Microsoft YaHei" w:eastAsia="Microsoft YaHei"/>
                  <w:sz w:val="17"/>
                </w:rPr>
                <w:t>恢复后成功记录</w:t>
              </w:r>
            </w:hyperlink>
          </w:p>
        </w:tc>
      </w:tr>
      <w:tr w14:paraId="45AB126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62FBD596">
            <w:pPr>
              <w:spacing w:before="173" w:line="188" w:lineRule="auto"/>
              <w:ind w:left="119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微服务拆分方案</w:t>
            </w:r>
          </w:p>
          <w:p w14:paraId="723DB4C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说明服务边界、接口和数据归属。</w:t>
            </w:r>
          </w:p>
        </w:tc>
        <w:tc>
          <w:tcPr>
            <w:tcW w:w="2410" w:type="dxa"/>
          </w:tcPr>
          <w:p w14:paraId="444E307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微服务拆分设计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services/service-</w:t>
            </w:r>
          </w:p>
          <w:p w14:paraId="06A5C875">
            <w:pPr>
              <w:pStyle w:val="6"/>
              <w:spacing w:before="100" w:beforeAutospacing="1" w:after="100" w:afterAutospacing="1"/>
              <w:ind w:left="210" w:leftChars="100" w:right="210" w:rightChars="100" w:firstLine="12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"boundaries.md"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boundaries.md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微服务接口与数据归属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；建议演示顺序：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图、接口清单、数据表归属、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成功证明。</w:t>
            </w:r>
          </w:p>
        </w:tc>
        <w:tc>
          <w:tcPr>
            <w:tcW w:w="7087" w:type="dxa"/>
          </w:tcPr>
          <w:p w14:paraId="6086726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在保留原系统核心业务功能的基础上，项目已完成微服务拆分方案设计。按照业务领域对系统功能进行划分，并通过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Gateway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统一对外提供访问入口，各业务服务之间按照既定接口进行协作，为后续独立部署、扩展及维护提供基础。</w:t>
            </w:r>
          </w:p>
          <w:p w14:paraId="41287FA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微服务架构图：</w:t>
            </w:r>
          </w:p>
          <w:p w14:paraId="27E7C84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526155" cy="2901950"/>
                  <wp:effectExtent l="0" t="0" r="0" b="0"/>
                  <wp:docPr id="110858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82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15" cy="2962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E779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微服务运行：</w:t>
            </w:r>
          </w:p>
          <w:p w14:paraId="2107DCB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64610" cy="1990725"/>
                  <wp:effectExtent l="0" t="0" r="2540" b="0"/>
                  <wp:docPr id="1035114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4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042" cy="20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DBC8E"/>
    <w:p w14:paraId="116763D6">
      <w:pPr>
        <w:sectPr>
          <w:pgSz w:w="11900" w:h="16839"/>
          <w:pgMar w:top="720" w:right="720" w:bottom="720" w:left="720" w:header="0" w:footer="0" w:gutter="0"/>
          <w:cols w:space="720" w:num="1"/>
          <w:docGrid w:linePitch="286" w:charSpace="0"/>
        </w:sectPr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42C4C"/>
          <w:sz w:val="32"/>
        </w:rPr>
        <w:t>中期审查总项补充：UC10–UC12 逐项追溯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18"/>
        </w:rPr>
        <w:t>以下三项均来自现有可运行功能，原 UC01–UC09 不变。GitHub 中已有或本轮新增的模型直接使用可点击链接，不重复插入截图。</w:t>
      </w:r>
    </w:p>
    <w:tbl>
      <w:tblPr>
        <w:tblStyle w:val="5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3402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需求与可验证结果</w:t>
            </w:r>
          </w:p>
        </w:tc>
        <w:tc>
          <w:tcPr>
            <w:tcW w:type="dxa" w:w="2381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三级模型（点击打开）</w:t>
            </w:r>
          </w:p>
        </w:tc>
        <w:tc>
          <w:tcPr>
            <w:tcW w:type="dxa" w:w="2835"/>
            <w:shd w:val="clear" w:color="auto" w:fill="F3F4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代码与测试证据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查询订单与物流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REQ10。仅查询当前用户订单；显示编号、金额、状态以及物流公司、单号和轨迹；未登录或越权时拒绝。</w:t>
            </w:r>
          </w:p>
        </w:tc>
        <w:tc>
          <w:tcPr>
            <w:tcW w:type="dxa" w:w="2381"/>
            <w:vAlign w:val="center"/>
          </w:tcPr>
          <w:p>
            <w:hyperlink r:id="rId47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SYS-SEQ10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48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COMP-SEQ10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49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OBJ-SEQ10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`OrderPage.jsx`、订单路由/控制器；UNIT-TC10/11；INT-TC04-MAIN、INT-PUBLIC-02；E2E-TC10。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取消订单并恢复库存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REQ11。本人待付款/待发货订单可取消；事务内恢复库存并标记已取消；越权、非法状态和失败不得产生部分更新。</w:t>
            </w:r>
          </w:p>
        </w:tc>
        <w:tc>
          <w:tcPr>
            <w:tcW w:type="dxa" w:w="2381"/>
            <w:vAlign w:val="center"/>
          </w:tcPr>
          <w:p>
            <w:hyperlink r:id="rId50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SYS-SEQ11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1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COMP-SEQ11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2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OBJ-SEQ11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`OrderPage.jsx`、`cancelOrder()`；UNIT-TC04-ALT、UNIT-TC10/11；INT-TC04-ALT/ERR；E2E-TC11。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UC12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公开店铺与信用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REQ12。游客/买家无需登录即可查看店铺资料、卖家信用和本人在售商品；不存在时返回明确提示。</w:t>
            </w:r>
          </w:p>
        </w:tc>
        <w:tc>
          <w:tcPr>
            <w:tcW w:type="dxa" w:w="2381"/>
            <w:vAlign w:val="center"/>
          </w:tcPr>
          <w:p>
            <w:hyperlink r:id="rId53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SYS-SEQ12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4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COMP-SEQ12</w:t>
              </w:r>
            </w:hyperlink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hyperlink r:id="rId55">
              <w:r>
                <w:rPr>
                  <w:color w:val="0563C1"/>
                  <w:u w:val="single"/>
                  <w:rFonts w:ascii="Microsoft YaHei" w:hAnsi="Microsoft YaHei" w:eastAsia="Microsoft YaHei"/>
                  <w:sz w:val="16"/>
                </w:rPr>
                <w:t>OBJ-SEQ12</w:t>
              </w:r>
            </w:hyperlink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`PublicShopPage.jsx`、店铺路由/控制器；UNIT-TC06、UNIT-TC12/ERR；INT-TC06-ALT/ERR；E2E-TC12。</w:t>
            </w:r>
          </w:p>
        </w:tc>
      </w:tr>
    </w:tbl>
    <w:p w14:paraId="466DD0D3">
      <w:pPr>
        <w:pStyle w:val="4"/>
        <w:spacing w:before="218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8"/>
          <w:sz w:val="28"/>
          <w:szCs w:val="28"/>
        </w:rPr>
        <w:t>二、微服务专项核对</w:t>
      </w:r>
    </w:p>
    <w:p w14:paraId="7DF0FE73">
      <w:pPr>
        <w:spacing w:line="110" w:lineRule="exact"/>
      </w:pPr>
    </w:p>
    <w:tbl>
      <w:tblPr>
        <w:tblStyle w:val="5"/>
        <w:tblW w:w="10348" w:type="dxa"/>
        <w:tblInd w:w="8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161"/>
        <w:gridCol w:w="7336"/>
      </w:tblGrid>
      <w:tr w14:paraId="55DA543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851" w:type="dxa"/>
            <w:shd w:val="clear" w:color="auto" w:fill="F3F4F6"/>
            <w:textDirection w:val="tbRlV"/>
          </w:tcPr>
          <w:p w14:paraId="3E7FD074">
            <w:pPr>
              <w:spacing w:before="192" w:line="184" w:lineRule="auto"/>
              <w:ind w:left="15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-2"/>
                <w:sz w:val="20"/>
                <w:szCs w:val="20"/>
              </w:rPr>
              <w:t>专  项</w:t>
            </w:r>
          </w:p>
        </w:tc>
        <w:tc>
          <w:tcPr>
            <w:tcW w:w="2161" w:type="dxa"/>
            <w:shd w:val="clear" w:color="auto" w:fill="F3F4F6"/>
          </w:tcPr>
          <w:p w14:paraId="486CDAE4">
            <w:pPr>
              <w:spacing w:before="154" w:line="188" w:lineRule="auto"/>
              <w:ind w:left="1895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7"/>
                <w:sz w:val="20"/>
                <w:szCs w:val="20"/>
              </w:rPr>
              <w:t>核查要点</w:t>
            </w:r>
          </w:p>
        </w:tc>
        <w:tc>
          <w:tcPr>
            <w:tcW w:w="7336" w:type="dxa"/>
            <w:shd w:val="clear" w:color="auto" w:fill="F3F4F6"/>
          </w:tcPr>
          <w:p w14:paraId="1316341F">
            <w:pPr>
              <w:spacing w:before="153" w:line="188" w:lineRule="auto"/>
              <w:ind w:left="1642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证据位置</w:t>
            </w:r>
          </w:p>
        </w:tc>
      </w:tr>
      <w:tr w14:paraId="060C770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851" w:type="dxa"/>
            <w:textDirection w:val="tbRlV"/>
          </w:tcPr>
          <w:p w14:paraId="33203E0C">
            <w:pPr>
              <w:spacing w:before="257" w:line="186" w:lineRule="auto"/>
              <w:ind w:left="18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3"/>
                <w:sz w:val="20"/>
                <w:szCs w:val="20"/>
              </w:rPr>
              <w:t>三  个  业  务  微  服  务</w:t>
            </w:r>
          </w:p>
        </w:tc>
        <w:tc>
          <w:tcPr>
            <w:tcW w:w="2161" w:type="dxa"/>
          </w:tcPr>
          <w:p w14:paraId="76F922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user-service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：用户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地址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角色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信用；</w:t>
            </w:r>
          </w:p>
          <w:p w14:paraId="4EB7427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：商品、二手、店铺、评价、聊天、上传、库存；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：下单、支付、取消、发货、收货和状态机。</w:t>
            </w:r>
            <w:r>
              <w:rPr>
                <w:color w:val="1F2937"/>
                <w:spacing w:val="10"/>
                <w:position w:val="3"/>
                <w:lang w:eastAsia="zh-CN"/>
              </w:rPr>
              <w:t>API Gateway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不计入业务服务数量。</w:t>
            </w:r>
          </w:p>
        </w:tc>
        <w:tc>
          <w:tcPr>
            <w:tcW w:w="7336" w:type="dxa"/>
          </w:tcPr>
          <w:p w14:paraId="677EC9B1">
            <w:pPr>
              <w:pStyle w:val="6"/>
              <w:spacing w:before="152" w:line="267" w:lineRule="auto"/>
              <w:ind w:left="174" w:right="226"/>
              <w:rPr>
                <w:rFonts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</w:rPr>
              <w:t>系统已按照业务领域完成服务拆分，形成</w:t>
            </w:r>
            <w:r>
              <w:rPr>
                <w:color w:val="1F2937"/>
              </w:rPr>
              <w:t xml:space="preserve"> user-service</w:t>
            </w:r>
            <w:r>
              <w:rPr>
                <w:rFonts w:hint="eastAsia" w:ascii="SimSun" w:hAnsi="SimSun" w:eastAsia="SimSun" w:cs="SimSun"/>
                <w:color w:val="1F2937"/>
              </w:rPr>
              <w:t>、</w:t>
            </w:r>
            <w:r>
              <w:rPr>
                <w:color w:val="1F2937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</w:rPr>
              <w:t>和</w:t>
            </w:r>
            <w:r>
              <w:rPr>
                <w:color w:val="1F2937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</w:rPr>
              <w:t>三个独立业务微服务，分别负责用户、商品及订单相关业务；</w:t>
            </w:r>
            <w:r>
              <w:rPr>
                <w:color w:val="1F2937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</w:rPr>
              <w:t>作为统一访问入口，不计入业务服务数量。</w:t>
            </w: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2610485" cy="5085715"/>
                  <wp:effectExtent l="0" t="0" r="0" b="635"/>
                  <wp:docPr id="13383384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384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50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CD05F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851" w:type="dxa"/>
            <w:textDirection w:val="tbRlV"/>
          </w:tcPr>
          <w:p w14:paraId="59D46602">
            <w:pPr>
              <w:spacing w:before="257" w:line="184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网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关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端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点</w:t>
            </w:r>
          </w:p>
        </w:tc>
        <w:tc>
          <w:tcPr>
            <w:tcW w:w="2161" w:type="dxa"/>
          </w:tcPr>
          <w:p w14:paraId="445A35C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网关按路径转发；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四个后端组件均提供</w:t>
            </w:r>
          </w:p>
          <w:p w14:paraId="53CD6E4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/ready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/version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；转发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JWT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0B0C7D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Content-Type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Idempotency-Key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；依赖超时返回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503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60784DB2">
            <w:pPr>
              <w:pStyle w:val="6"/>
              <w:spacing w:before="155" w:line="238" w:lineRule="auto"/>
              <w:ind w:left="120" w:right="181" w:firstLine="53"/>
              <w:rPr>
                <w:rFonts w:ascii="SimSun" w:hAnsi="SimSun" w:eastAsia="SimSun" w:cs="SimSun"/>
                <w:color w:val="1F2937"/>
                <w:lang w:eastAsia="zh-CN"/>
              </w:rPr>
            </w:pPr>
            <w:r>
              <w:rPr>
                <w:color w:val="1F2937"/>
                <w:lang w:eastAsia="zh-CN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作为微服务统一访问入口，根据请求路径将请求转发至对应业务服务，并提供统一的健康检查、就绪检查及版本接口。相关</w:t>
            </w:r>
            <w:r>
              <w:rPr>
                <w:color w:val="1F2937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接口已通过自动化测试进行验证。</w:t>
            </w:r>
          </w:p>
          <w:p w14:paraId="79498DAC">
            <w:pPr>
              <w:pStyle w:val="6"/>
              <w:spacing w:before="155" w:line="238" w:lineRule="auto"/>
              <w:ind w:left="120" w:right="181" w:firstLine="53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30320" cy="1503045"/>
                  <wp:effectExtent l="0" t="0" r="0" b="1905"/>
                  <wp:docPr id="1297349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494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50" cy="152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AB07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851" w:type="dxa"/>
            <w:textDirection w:val="tbRlV"/>
          </w:tcPr>
          <w:p w14:paraId="2FFBDCC0">
            <w:pPr>
              <w:spacing w:before="257" w:line="185" w:lineRule="auto"/>
              <w:ind w:left="153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数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据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归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属</w:t>
            </w:r>
          </w:p>
        </w:tc>
        <w:tc>
          <w:tcPr>
            <w:tcW w:w="2161" w:type="dxa"/>
          </w:tcPr>
          <w:p w14:paraId="7A6547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三个独立数据库：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softw_users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softw_orders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</w:p>
          <w:p w14:paraId="65A9985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订单保存商品、地址和物流快照；服务之间通过内部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HTTP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交互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，不跨库联表。</w:t>
            </w:r>
          </w:p>
        </w:tc>
        <w:tc>
          <w:tcPr>
            <w:tcW w:w="7336" w:type="dxa"/>
          </w:tcPr>
          <w:p w14:paraId="5D369A7C">
            <w:pPr>
              <w:pStyle w:val="6"/>
              <w:spacing w:before="114" w:line="229" w:lineRule="auto"/>
              <w:ind w:left="165"/>
              <w:rPr>
                <w:rFonts w:eastAsiaTheme="minorEastAsia"/>
                <w:color w:val="1F2937"/>
                <w:spacing w:val="2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微服务采用独立数据库进行数据隔离，用户、商品和订单数据分别归属于</w:t>
            </w:r>
            <w:r>
              <w:rPr>
                <w:color w:val="1F2937"/>
                <w:spacing w:val="2"/>
                <w:lang w:eastAsia="zh-CN"/>
              </w:rPr>
              <w:t xml:space="preserve"> softw_users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、</w:t>
            </w:r>
            <w:r>
              <w:rPr>
                <w:color w:val="1F2937"/>
                <w:spacing w:val="2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和</w:t>
            </w:r>
            <w:r>
              <w:rPr>
                <w:color w:val="1F2937"/>
                <w:spacing w:val="2"/>
                <w:lang w:eastAsia="zh-CN"/>
              </w:rPr>
              <w:t xml:space="preserve"> softw_orders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。服务之间通过内部</w:t>
            </w:r>
            <w:r>
              <w:rPr>
                <w:color w:val="1F2937"/>
                <w:spacing w:val="2"/>
                <w:lang w:eastAsia="zh-CN"/>
              </w:rPr>
              <w:t xml:space="preserve"> HTTP API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进行业务协作，不采用跨库联表方式。</w:t>
            </w:r>
          </w:p>
          <w:p w14:paraId="36458A62">
            <w:pPr>
              <w:pStyle w:val="6"/>
              <w:spacing w:before="114" w:line="229" w:lineRule="auto"/>
              <w:ind w:left="165"/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  <w:drawing>
                <wp:inline distT="0" distB="0" distL="0" distR="0">
                  <wp:extent cx="3843655" cy="2457450"/>
                  <wp:effectExtent l="0" t="0" r="4445" b="0"/>
                  <wp:docPr id="452069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699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82" cy="246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9CE0A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6" w:hRule="atLeast"/>
        </w:trPr>
        <w:tc>
          <w:tcPr>
            <w:tcW w:w="851" w:type="dxa"/>
            <w:textDirection w:val="tbRlV"/>
          </w:tcPr>
          <w:p w14:paraId="30D44C46">
            <w:pPr>
              <w:spacing w:before="257" w:line="186" w:lineRule="auto"/>
              <w:ind w:left="257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69"/>
                <w:sz w:val="20"/>
                <w:szCs w:val="20"/>
              </w:rPr>
              <w:t>一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致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性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失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败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0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处  理</w:t>
            </w:r>
          </w:p>
        </w:tc>
        <w:tc>
          <w:tcPr>
            <w:tcW w:w="2161" w:type="dxa"/>
          </w:tcPr>
          <w:p w14:paraId="5B7EDA6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订单通过商品服务库存预留、释放、完成接口维护库存；库存不足不创建订单；释放接口按</w:t>
            </w:r>
          </w:p>
          <w:p w14:paraId="2C8D1A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reservation 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幂等；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内部接口要求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X- Internal-Token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0D3DFE38">
            <w:pPr>
              <w:pStyle w:val="6"/>
              <w:spacing w:before="131" w:line="229" w:lineRule="auto"/>
              <w:ind w:left="165"/>
              <w:rPr>
                <w:rFonts w:ascii="SimSun" w:hAnsi="SimSun" w:eastAsia="SimSun" w:cs="SimSun"/>
                <w:color w:val="1F2937"/>
                <w:spacing w:val="1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"/>
                <w:lang w:eastAsia="zh-CN"/>
              </w:rPr>
              <w:t>订单流程通过商品服务提供的库存预留、释放及完成接口维护库存状态，并针对库存不足、订单取消及重复请求等异常场景进行验证，确保跨服务业务流程具有一致性和必要的幂等处理能力。</w:t>
            </w:r>
          </w:p>
          <w:p w14:paraId="3C452B5A">
            <w:pPr>
              <w:pStyle w:val="6"/>
              <w:spacing w:before="131" w:line="229" w:lineRule="auto"/>
              <w:ind w:left="165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  <w:drawing>
                <wp:inline distT="0" distB="0" distL="0" distR="0">
                  <wp:extent cx="3879215" cy="2160270"/>
                  <wp:effectExtent l="0" t="0" r="6985" b="0"/>
                  <wp:docPr id="224235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351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42" cy="2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677F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851" w:type="dxa"/>
            <w:textDirection w:val="tbRlV"/>
          </w:tcPr>
          <w:p w14:paraId="45D112F2">
            <w:pPr>
              <w:spacing w:before="257" w:line="185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部  署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与  回  归</w:t>
            </w:r>
          </w:p>
        </w:tc>
        <w:tc>
          <w:tcPr>
            <w:tcW w:w="2161" w:type="dxa"/>
          </w:tcPr>
          <w:p w14:paraId="00D0A6B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可启动完整微服务拓扑；</w:t>
            </w:r>
          </w:p>
          <w:p w14:paraId="5F982A9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Ku 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清单包含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MySQL PVC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、三个业务服务、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网关、前端和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HPA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网关公开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API/E2E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覆盖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UC01-UC09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4BBC149D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微服务版本已完成容器化部署，并通过自动化流水线验证镜像构建、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部署及服务健康状态。部署后进一步执行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与浏览器端回归测试，验证主要业务流程在微服务架构下能够正常运行。</w:t>
            </w:r>
          </w:p>
          <w:p w14:paraId="53B7EF63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60800" cy="1988820"/>
                  <wp:effectExtent l="0" t="0" r="6350" b="0"/>
                  <wp:docPr id="7497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7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978" cy="203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7F0B7">
      <w:pPr>
        <w:spacing w:line="368" w:lineRule="auto"/>
        <w:rPr>
          <w:lang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47700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DDCB">
      <w:pPr>
        <w:pStyle w:val="4"/>
        <w:spacing w:before="120" w:line="187" w:lineRule="auto"/>
        <w:ind w:left="8"/>
        <w:outlineLvl w:val="1"/>
        <w:rPr>
          <w:b/>
          <w:bCs/>
          <w:color w:val="0F172A"/>
          <w:spacing w:val="9"/>
          <w:sz w:val="28"/>
          <w:szCs w:val="28"/>
        </w:rPr>
      </w:pPr>
    </w:p>
    <w:p w14:paraId="652A7BDD">
      <w:pPr>
        <w:pStyle w:val="4"/>
        <w:spacing w:before="120" w:line="187" w:lineRule="auto"/>
        <w:outlineLvl w:val="1"/>
        <w:rPr>
          <w:sz w:val="28"/>
          <w:szCs w:val="28"/>
        </w:rPr>
      </w:pPr>
      <w:r>
        <w:rPr>
          <w:b/>
          <w:bCs/>
          <w:color w:val="0F172A"/>
          <w:spacing w:val="9"/>
          <w:sz w:val="28"/>
          <w:szCs w:val="28"/>
        </w:rPr>
        <w:t>三、现场命令与记录</w:t>
      </w:r>
    </w:p>
    <w:p w14:paraId="29DEAFE4">
      <w:pPr>
        <w:spacing w:line="187" w:lineRule="auto"/>
        <w:rPr>
          <w:sz w:val="28"/>
          <w:szCs w:val="28"/>
        </w:rPr>
        <w:sectPr>
          <w:headerReference r:id="rId5" w:type="default"/>
          <w:pgSz w:w="11900" w:h="16839"/>
          <w:pgMar w:top="810" w:right="844" w:bottom="0" w:left="855" w:header="795" w:footer="0" w:gutter="0"/>
          <w:cols w:space="720" w:num="1"/>
        </w:sectPr>
      </w:pPr>
    </w:p>
    <w:p w14:paraId="5F0E992A">
      <w:pPr>
        <w:spacing w:before="153"/>
      </w:pPr>
      <w:r>
        <w:pict>
          <v:shape id="_x0000_s1030" o:spid="_x0000_s1030" o:spt="202" type="#_x0000_t202" style="position:absolute;left:0pt;margin-left:41.75pt;margin-top:38.75pt;height:240.5pt;width:253.2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29E05FB">
                  <w:pPr>
                    <w:spacing w:line="20" w:lineRule="exact"/>
                  </w:pPr>
                </w:p>
                <w:tbl>
                  <w:tblPr>
                    <w:tblStyle w:val="5"/>
                    <w:tblW w:w="5010" w:type="dxa"/>
                    <w:tblInd w:w="27" w:type="dxa"/>
                    <w:tblBorders>
                      <w:top w:val="single" w:color="D1D5DB" w:sz="6" w:space="0"/>
                      <w:left w:val="single" w:color="D1D5DB" w:sz="6" w:space="0"/>
                      <w:bottom w:val="single" w:color="D1D5DB" w:sz="6" w:space="0"/>
                      <w:right w:val="single" w:color="D1D5DB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0"/>
                  </w:tblGrid>
                  <w:tr w14:paraId="1AB9D321">
                    <w:tblPrEx>
                      <w:tblBorders>
                        <w:top w:val="single" w:color="D1D5DB" w:sz="6" w:space="0"/>
                        <w:left w:val="single" w:color="D1D5DB" w:sz="6" w:space="0"/>
                        <w:bottom w:val="single" w:color="D1D5DB" w:sz="6" w:space="0"/>
                        <w:right w:val="single" w:color="D1D5DB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40" w:hRule="atLeast"/>
                    </w:trPr>
                    <w:tc>
                      <w:tcPr>
                        <w:tcW w:w="5010" w:type="dxa"/>
                      </w:tcPr>
                      <w:p w14:paraId="63586265">
                        <w:pPr>
                          <w:spacing w:before="198" w:line="188" w:lineRule="auto"/>
                          <w:ind w:left="162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b/>
                            <w:bCs/>
                            <w:color w:val="1F2937"/>
                            <w:spacing w:val="7"/>
                            <w:sz w:val="20"/>
                            <w:szCs w:val="20"/>
                          </w:rPr>
                          <w:t>本地快速核查</w:t>
                        </w:r>
                      </w:p>
                      <w:p w14:paraId="50C3B25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verify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：后端、前端单元和微服务基础测试。</w:t>
                        </w:r>
                      </w:p>
                      <w:p w14:paraId="7E9D2118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compose:up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：启动单体前端、后端和</w:t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MySQL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。</w:t>
                        </w:r>
                      </w:p>
                      <w:p w14:paraId="6D0B9B17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docker compose --env-file .env -f</w:t>
                        </w:r>
                      </w:p>
                      <w:p w14:paraId="7149A77B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03_devops/docker-compose.microservices.yml up --build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：启动微服务版本。</w:t>
                        </w:r>
                      </w:p>
                      <w:p w14:paraId="31AB09B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curl --fail</w:t>
                        </w:r>
                      </w:p>
                      <w:p w14:paraId="09A00726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"http://127.0.0.1:3001/api/health："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http://127.0.0.1:3001/api/health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单体健康检查。</w:t>
                        </w:r>
                      </w:p>
                      <w:p w14:paraId="5B3EFE97">
                        <w:pPr>
                          <w:pStyle w:val="6"/>
                          <w:spacing w:before="32" w:line="234" w:lineRule="auto"/>
                          <w:ind w:left="477" w:right="346" w:hanging="267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color w:val="1F2937"/>
                            <w:position w:val="5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8"/>
                          </w:rPr>
                          <w:t xml:space="preserve">  </w:t>
                        </w:r>
                        <w:r>
                          <w:rPr>
                            <w:color w:val="1F2937"/>
                          </w:rPr>
                          <w:t>curl</w:t>
                        </w:r>
                        <w:r>
                          <w:rPr>
                            <w:color w:val="1F2937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--fail </w:t>
                        </w:r>
                        <w:r>
                          <w:fldChar w:fldCharType="begin"/>
                        </w:r>
                        <w:r>
                          <w:instrText xml:space="preserve"> HYPERLINK "http://127.0.0.1:8081/ready："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</w:rPr>
                          <w:t>http://127.0.0.1:8081/ready</w:t>
                        </w:r>
                        <w:r>
                          <w:rPr>
                            <w:color w:val="1F2937"/>
                            <w:spacing w:val="-5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pacing w:val="5"/>
                            <w:sz w:val="20"/>
                            <w:szCs w:val="20"/>
                          </w:rPr>
                          <w:t>网关依赖就绪检查。</w:t>
                        </w:r>
                      </w:p>
                    </w:tc>
                  </w:tr>
                </w:tbl>
                <w:p w14:paraId="65E55E85"/>
              </w:txbxContent>
            </v:textbox>
          </v:shape>
        </w:pict>
      </w:r>
    </w:p>
    <w:tbl>
      <w:tblPr>
        <w:tblStyle w:val="5"/>
        <w:tblW w:w="5010" w:type="dxa"/>
        <w:tblInd w:w="5182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0"/>
      </w:tblGrid>
      <w:tr w14:paraId="3E772C7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0" w:hRule="atLeast"/>
        </w:trPr>
        <w:tc>
          <w:tcPr>
            <w:tcW w:w="5010" w:type="dxa"/>
          </w:tcPr>
          <w:p w14:paraId="4E16CA35">
            <w:pPr>
              <w:spacing w:before="155" w:line="237" w:lineRule="auto"/>
              <w:ind w:left="169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远程/集群证据</w:t>
            </w:r>
          </w:p>
          <w:p w14:paraId="5B5826F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color w:val="1F2937"/>
                <w:position w:val="4"/>
                <w:sz w:val="20"/>
                <w:szCs w:val="20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color w:val="1F2937"/>
                <w:spacing w:val="7"/>
                <w:sz w:val="20"/>
                <w:szCs w:val="20"/>
              </w:rPr>
              <w:t xml:space="preserve">  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 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第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48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次完整运行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：测试、镜像、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部署和健康检查成功。</w:t>
            </w:r>
          </w:p>
          <w:p w14:paraId="5FDB0DF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03_devops/2026-08-27-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</w:t>
            </w:r>
            <w:r>
              <w:rPr>
                <w:color w:val="1F2937"/>
                <w:spacing w:val="10"/>
                <w:position w:val="3"/>
                <w:lang w:eastAsia="zh-CN"/>
              </w:rPr>
              <w:t>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部署、数据库隔离、跨服务订单流转。</w:t>
            </w:r>
          </w:p>
          <w:p w14:paraId="71B4C1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03_devops/2026-08-28-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微服务自动部署与可观测性验证记录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门禁流水线、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SHA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镜像、健康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就绪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版本检查、失败诊断与恢复。</w:t>
            </w:r>
          </w:p>
        </w:tc>
      </w:tr>
    </w:tbl>
    <w:p w14:paraId="7CF0CB2E">
      <w:pPr>
        <w:spacing w:line="366" w:lineRule="auto"/>
        <w:rPr>
          <w:lang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CC4D">
      <w:pPr>
        <w:spacing w:line="382" w:lineRule="auto"/>
        <w:rPr>
          <w:lang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917F">
      <w:pPr>
        <w:pStyle w:val="4"/>
        <w:spacing w:before="121" w:line="187" w:lineRule="auto"/>
        <w:ind w:left="5"/>
        <w:outlineLvl w:val="1"/>
        <w:rPr>
          <w:sz w:val="28"/>
          <w:szCs w:val="28"/>
          <w:lang w:eastAsia="zh-CN"/>
        </w:rPr>
      </w:pPr>
      <w:r>
        <w:rPr>
          <w:rFonts w:hint="eastAsia"/>
          <w:b/>
          <w:bCs/>
          <w:color w:val="0F172A"/>
          <w:spacing w:val="8"/>
          <w:sz w:val="28"/>
          <w:szCs w:val="28"/>
          <w:lang w:eastAsia="zh-CN"/>
        </w:rPr>
        <w:t>四</w:t>
      </w:r>
      <w:r>
        <w:rPr>
          <w:b/>
          <w:bCs/>
          <w:color w:val="0F172A"/>
          <w:spacing w:val="8"/>
          <w:sz w:val="28"/>
          <w:szCs w:val="28"/>
          <w:lang w:eastAsia="zh-CN"/>
        </w:rPr>
        <w:t>、依据文件</w:t>
      </w:r>
    </w:p>
    <w:p w14:paraId="3CFA81B7">
      <w:pPr>
        <w:pStyle w:val="4"/>
        <w:spacing w:before="116" w:line="230" w:lineRule="auto"/>
        <w:ind w:left="2" w:right="48" w:firstLine="16"/>
        <w:rPr>
          <w:sz w:val="18"/>
          <w:szCs w:val="18"/>
        </w:rPr>
      </w:pPr>
      <w:r>
        <w:rPr>
          <w:rFonts w:ascii="Microsoft YaHei" w:hAnsi="Microsoft YaHei" w:eastAsia="Microsoft YaHei"/>
          <w:b w:val="0"/>
          <w:sz w:val="18"/>
        </w:rPr>
        <w:t>1. 06_defense/小学期交付总览.md：中期七项对照。 2. 02_docs/微服务接口与数据归属.md：服务划分、接口、表归属、失败处理。 3. 02_docs/图表绘制与插入位置清单.md：UC01-UC12 对应的 40 张必需图和导出检查。 4. 04_tests/README.md、04_tests/reports/tests/测试报告-小学期.md：217 条自动化定义、覆盖率与验证命令。 5. 03_devops/2026-08-27-微服务Kubernetes验证记录.md、03_devops/2026-08-30-D6-01三业务微服务验收记录.md：部署、数据库隔离、流水线和健康检查。</w:t>
      </w:r>
    </w:p>
    <w:sectPr>
      <w:headerReference r:id="rId6" w:type="default"/>
      <w:pgSz w:w="11900" w:h="16839"/>
      <w:pgMar w:top="400" w:right="844" w:bottom="0" w:left="85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22D57">
    <w:pPr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542925</wp:posOffset>
          </wp:positionH>
          <wp:positionV relativeFrom="page">
            <wp:posOffset>504825</wp:posOffset>
          </wp:positionV>
          <wp:extent cx="647700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70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1625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5E38AE"/>
    <w:rsid w:val="000B2B79"/>
    <w:rsid w:val="000E4227"/>
    <w:rsid w:val="00196140"/>
    <w:rsid w:val="001D309F"/>
    <w:rsid w:val="001F3286"/>
    <w:rsid w:val="002532BD"/>
    <w:rsid w:val="004C411B"/>
    <w:rsid w:val="00541A34"/>
    <w:rsid w:val="005A2B9C"/>
    <w:rsid w:val="005A7BF0"/>
    <w:rsid w:val="005E38AE"/>
    <w:rsid w:val="005F71DE"/>
    <w:rsid w:val="0069290B"/>
    <w:rsid w:val="007F3F31"/>
    <w:rsid w:val="0081792B"/>
    <w:rsid w:val="009D1B92"/>
    <w:rsid w:val="00A7319A"/>
    <w:rsid w:val="00AB6B7D"/>
    <w:rsid w:val="00BC7580"/>
    <w:rsid w:val="00C031C9"/>
    <w:rsid w:val="00C95820"/>
    <w:rsid w:val="00CB4C5D"/>
    <w:rsid w:val="00D07E00"/>
    <w:rsid w:val="00F75581"/>
    <w:rsid w:val="00FF66D1"/>
    <w:rsid w:val="2E3B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31" Type="http://schemas.openxmlformats.org/officeDocument/2006/relationships/hyperlink" Target="https://github.com/tchen-0213/softw/blob/main/02_docs/%E4%B8%9A%E5%8A%A1%E5%9C%BA%E6%99%AF%E7%94%A8%E4%BE%8B%E6%B8%85%E5%8D%95%E4%B8%8E%E8%BF%BD%E6%BA%AF%E8%A1%A8.md" TargetMode="External"/><Relationship Id="rId32" Type="http://schemas.openxmlformats.org/officeDocument/2006/relationships/hyperlink" Target="https://github.com/tchen-0213/softw/blob/main/02_docs/%E8%BD%AF%E4%BB%B6%E9%9C%80%E6%B1%82%E8%A7%84%E6%A0%BC%E8%AF%B4%E6%98%8E%E4%B9%A6.md" TargetMode="External"/><Relationship Id="rId33" Type="http://schemas.openxmlformats.org/officeDocument/2006/relationships/hyperlink" Target="https://github.com/tchen-0213/softw/blob/main/02_docs/%E8%BD%AF%E4%BB%B6%E6%A6%82%E8%A6%81%E8%AE%BE%E8%AE%A1%E8%AF%B4%E6%98%8E%E4%B9%A6.md" TargetMode="External"/><Relationship Id="rId34" Type="http://schemas.openxmlformats.org/officeDocument/2006/relationships/hyperlink" Target="https://github.com/tchen-0213/softw/blob/main/02_docs/%E8%BD%AF%E4%BB%B6%E8%AF%A6%E7%BB%86%E8%AE%BE%E8%AE%A1%E8%AF%B4%E6%98%8E%E4%B9%A6.md" TargetMode="External"/><Relationship Id="rId35" Type="http://schemas.openxmlformats.org/officeDocument/2006/relationships/hyperlink" Target="https://github.com/tchen-0213/softw/blob/main/02_docs/%E5%9B%BE%E8%A1%A8%E7%BB%98%E5%88%B6%E4%B8%8E%E6%8F%92%E5%85%A5%E4%BD%8D%E7%BD%AE%E6%B8%85%E5%8D%95.md" TargetMode="External"/><Relationship Id="rId36" Type="http://schemas.openxmlformats.org/officeDocument/2006/relationships/hyperlink" Target="https://github.com/tchen-0213/softw/blob/main/frontend/tests/orderPublicShop.test.jsx" TargetMode="External"/><Relationship Id="rId37" Type="http://schemas.openxmlformats.org/officeDocument/2006/relationships/hyperlink" Target="https://github.com/tchen-0213/softw/blob/main/frontend/e2e/customer-flow.spec.js" TargetMode="External"/><Relationship Id="rId38" Type="http://schemas.openxmlformats.org/officeDocument/2006/relationships/hyperlink" Target="https://github.com/tchen-0213/softw/blob/main/04_tests/reports/tests/%E6%B5%8B%E8%AF%95%E6%8A%A5%E5%91%8A-%E5%B0%8F%E5%AD%A6%E6%9C%9F.md" TargetMode="External"/><Relationship Id="rId39" Type="http://schemas.openxmlformats.org/officeDocument/2006/relationships/hyperlink" Target="https://github.com/tchen-0213/softw#readme" TargetMode="External"/><Relationship Id="rId40" Type="http://schemas.openxmlformats.org/officeDocument/2006/relationships/hyperlink" Target="https://github.com/tchen-0213/softw/blob/main/03_devops/docker-compose.yml" TargetMode="External"/><Relationship Id="rId41" Type="http://schemas.openxmlformats.org/officeDocument/2006/relationships/hyperlink" Target="https://github.com/tchen-0213/softw/blob/main/03_devops/database/init/001_database.sql" TargetMode="External"/><Relationship Id="rId42" Type="http://schemas.openxmlformats.org/officeDocument/2006/relationships/hyperlink" Target="https://github.com/tchen-0213/softw/blob/main/03_devops/scripts/verify-local.sh" TargetMode="External"/><Relationship Id="rId43" Type="http://schemas.openxmlformats.org/officeDocument/2006/relationships/hyperlink" Target="https://github.com/tchen-0213/softw/blob/main/.github/workflows/ci-cd.yml" TargetMode="External"/><Relationship Id="rId44" Type="http://schemas.openxmlformats.org/officeDocument/2006/relationships/hyperlink" Target="https://github.com/tchen-0213/softw/actions/runs/33351909446" TargetMode="External"/><Relationship Id="rId45" Type="http://schemas.openxmlformats.org/officeDocument/2006/relationships/hyperlink" Target="https://github.com/tchen-0213/softw/actions/runs/33317182670" TargetMode="External"/><Relationship Id="rId46" Type="http://schemas.openxmlformats.org/officeDocument/2006/relationships/hyperlink" Target="https://github.com/tchen-0213/softw/actions/runs/33350756782" TargetMode="External"/><Relationship Id="rId47" Type="http://schemas.openxmlformats.org/officeDocument/2006/relationships/hyperlink" Target="https://github.com/tchen-0213/softw/blob/main/02_docs/images/34-SYS-SEQ10.svg" TargetMode="External"/><Relationship Id="rId48" Type="http://schemas.openxmlformats.org/officeDocument/2006/relationships/hyperlink" Target="https://github.com/tchen-0213/softw/blob/main/02_docs/images/37-COMP-SEQ10.svg" TargetMode="External"/><Relationship Id="rId49" Type="http://schemas.openxmlformats.org/officeDocument/2006/relationships/hyperlink" Target="https://github.com/tchen-0213/softw/blob/main/02_docs/images/40-OBJ-SEQ10.svg" TargetMode="External"/><Relationship Id="rId50" Type="http://schemas.openxmlformats.org/officeDocument/2006/relationships/hyperlink" Target="https://github.com/tchen-0213/softw/blob/main/02_docs/images/35-SYS-SEQ11.svg" TargetMode="External"/><Relationship Id="rId51" Type="http://schemas.openxmlformats.org/officeDocument/2006/relationships/hyperlink" Target="https://github.com/tchen-0213/softw/blob/main/02_docs/images/38-COMP-SEQ11.svg" TargetMode="External"/><Relationship Id="rId52" Type="http://schemas.openxmlformats.org/officeDocument/2006/relationships/hyperlink" Target="https://github.com/tchen-0213/softw/blob/main/02_docs/images/41-OBJ-SEQ11.svg" TargetMode="External"/><Relationship Id="rId53" Type="http://schemas.openxmlformats.org/officeDocument/2006/relationships/hyperlink" Target="https://github.com/tchen-0213/softw/blob/main/02_docs/images/36-SYS-SEQ12.svg" TargetMode="External"/><Relationship Id="rId54" Type="http://schemas.openxmlformats.org/officeDocument/2006/relationships/hyperlink" Target="https://github.com/tchen-0213/softw/blob/main/02_docs/images/39-COMP-SEQ12.svg" TargetMode="External"/><Relationship Id="rId55" Type="http://schemas.openxmlformats.org/officeDocument/2006/relationships/hyperlink" Target="https://github.com/tchen-0213/softw/blob/main/02_docs/images/42-OBJ-SEQ12.svg" TargetMode="External"/><Relationship Id="rId56" Type="http://schemas.openxmlformats.org/officeDocument/2006/relationships/hyperlink" Target="https://github.com/tchen-0213/softw/actions/runs/33365634714/job/99405580347" TargetMode="External"/><Relationship Id="rId57" Type="http://schemas.openxmlformats.org/officeDocument/2006/relationships/hyperlink" Target="https://github.com/tchen-0213/softw/actions/runs/3336563471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26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2118</Words>
  <Characters>3390</Characters>
  <Lines>228</Lines>
  <Paragraphs>121</Paragraphs>
  <TotalTime>71</TotalTime>
  <ScaleCrop>false</ScaleCrop>
  <LinksUpToDate>false</LinksUpToDate>
  <CharactersWithSpaces>3707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2026-08-29T01:19:00Z</dcterms:created>
  <dc:creator>zhich</dc:creator>
  <cp:lastModifiedBy>Zhichen</cp:lastModifiedBy>
  <dcterms:modified xsi:type="dcterms:W3CDTF">2026-08-29T07:10:13Z</dcterms:modified>
  <dc:title>softw 中期审查核对清单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2026-08-29T09:24:13Z</vt:filetime>
  </property>
  <property fmtid="{D5CDD505-2E9C-101B-9397-08002B2CF9AE}" pid="4" name="KSOTemplateDocerSaveRecord">
    <vt:lpwstr>eyJoZGlkIjoiNjI5MzExZmQ3OGJiMzY0M2I4NTYzZTYxODZmODEwNDUiLCJ1c2VySWQiOiIxMTE3MjE4MDI0ODg4In0=</vt:lpwstr>
  </property>
  <property fmtid="{D5CDD505-2E9C-101B-9397-08002B2CF9AE}" pid="5" name="KSOProductBuildVer">
    <vt:lpwstr>1033-12.1.0.28485</vt:lpwstr>
  </property>
  <property fmtid="{D5CDD505-2E9C-101B-9397-08002B2CF9AE}" pid="6" name="ICV">
    <vt:lpwstr>DB222BC29B6E4357A881F53C4B1D31EE_13</vt:lpwstr>
  </property>
</Properties>
</file>