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15.png" ContentType="image/png"/>
  <Override PartName="/word/media/rId68.png" ContentType="image/png"/>
  <Override PartName="/word/media/rId73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软件概要设计说明书"/>
    <w:p>
      <w:pPr>
        <w:pStyle w:val="Heading1"/>
      </w:pPr>
      <w:r>
        <w:rPr>
          <w:rFonts w:hint="eastAsia"/>
        </w:rPr>
        <w:t xml:space="preserve">软件概要设计说明书</w:t>
      </w:r>
    </w:p>
    <w:bookmarkStart w:id="9" w:name="X58ede200c2d2000a3e2e34cb3e1bf47c0622b88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文档目的与基线</w:t>
      </w:r>
    </w:p>
    <w:p>
      <w:pPr>
        <w:pStyle w:val="FirstParagraph"/>
      </w:pPr>
      <w:r>
        <w:rPr>
          <w:rFonts w:hint="eastAsia"/>
        </w:rPr>
        <w:t xml:space="preserve">本文把</w:t>
      </w:r>
      <w:r>
        <w:t xml:space="preserve"> REQ01-REQ12 </w:t>
      </w:r>
      <w:r>
        <w:rPr>
          <w:rFonts w:hint="eastAsia"/>
        </w:rPr>
        <w:t xml:space="preserve">分配到可部署组件，说明接口、数据和运行结构，并为</w:t>
      </w:r>
      <w:r>
        <w:t xml:space="preserve"> UC01-UC12 </w:t>
      </w:r>
      <w:r>
        <w:rPr>
          <w:rFonts w:hint="eastAsia"/>
        </w:rPr>
        <w:t xml:space="preserve">分别给出组件级业务模型。设计以当前仓库代码为准，不把尚未实现的</w:t>
      </w:r>
      <w:r>
        <w:t xml:space="preserve"> </w:t>
      </w:r>
      <w:r>
        <w:rPr>
          <w:rFonts w:hint="eastAsia"/>
        </w:rPr>
        <w:t xml:space="preserve">Redis、消息队列、Elasticsearch、第三方支付和外部物流写成现有组件。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18、React Router、Redux Toolkit、Axios、Vite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核心业务后端</w:t>
            </w:r>
          </w:p>
        </w:tc>
        <w:tc>
          <w:tcPr/>
          <w:p>
            <w:pPr>
              <w:pStyle w:val="Compact"/>
            </w:pPr>
            <w:r>
              <w:t xml:space="preserve">Express </w:t>
            </w:r>
            <w:r>
              <w:rPr>
                <w:rFonts w:hint="eastAsia"/>
              </w:rPr>
              <w:t xml:space="preserve">单体</w:t>
            </w:r>
            <w:r>
              <w:t xml:space="preserve"> </w:t>
            </w:r>
            <w:r>
              <w:rPr>
                <w:rFonts w:hint="eastAsia"/>
              </w:rPr>
              <w:t xml:space="preserve">API，完整承载</w:t>
            </w:r>
            <w:r>
              <w:t xml:space="preserve"> UC01-UC12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Sequelize + MySQL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微服务实践</w:t>
            </w:r>
          </w:p>
        </w:tc>
        <w:tc>
          <w:tcPr/>
          <w:p>
            <w:pPr>
              <w:pStyle w:val="Compact"/>
            </w:pPr>
            <w:r>
              <w:t xml:space="preserve">API Gateway、User Service、Product Service、Order </w:t>
            </w:r>
            <w:r>
              <w:rPr>
                <w:rFonts w:hint="eastAsia"/>
              </w:rPr>
              <w:t xml:space="preserve">Service，用于拆分、部署和故障降级实验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Compose、GitHub Actions、Kubernetes/kind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后端本地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  <w:r>
              <w:rPr>
                <w:rFonts w:hint="eastAsia"/>
              </w:rPr>
              <w:t xml:space="preserve">，不声明为</w:t>
            </w:r>
            <w:r>
              <w:t xml:space="preserve"> OSS</w:t>
            </w:r>
          </w:p>
        </w:tc>
      </w:tr>
    </w:tbl>
    <w:bookmarkEnd w:id="9"/>
    <w:bookmarkStart w:id="20" w:name="Xdebcaae2045b6e5a1c266cdabceda5be6550113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总体架构与组件职责</w:t>
      </w:r>
    </w:p>
    <w:bookmarkStart w:id="14" w:name="Xf2a326b017fabb721977a48b5549af0fa83826d"/>
    <w:p>
      <w:pPr>
        <w:pStyle w:val="Heading3"/>
      </w:pPr>
      <w:r>
        <w:t xml:space="preserve">2.1 ARCH-COMP </w:t>
      </w:r>
      <w:r>
        <w:rPr>
          <w:rFonts w:hint="eastAsia"/>
        </w:rPr>
        <w:t xml:space="preserve">总组件图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ARCH-COMP：系统组件图。最终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应在本节保留该图。</w:t>
      </w:r>
    </w:p>
    <w:p>
      <w:pPr>
        <w:pStyle w:val="BodyText"/>
      </w:pPr>
      <w:r>
        <w:drawing>
          <wp:inline>
            <wp:extent cx="5334000" cy="3898964"/>
            <wp:effectExtent b="0" l="0" r="0" t="0"/>
            <wp:docPr descr="图 12-ARCH-COMP 系统总组件图" title="" id="11" name="Picture"/>
            <a:graphic>
              <a:graphicData uri="http://schemas.openxmlformats.org/drawingml/2006/picture">
                <pic:pic>
                  <pic:nvPicPr>
                    <pic:cNvPr descr="images/12-ARCH-COM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13">
        <w:r>
          <w:rPr>
            <w:rStyle w:val="Hyperlink"/>
          </w:rPr>
          <w:t xml:space="preserve">12-ARCH-COMP.mmd</w:t>
        </w:r>
      </w:hyperlink>
    </w:p>
    <w:bookmarkEnd w:id="14"/>
    <w:bookmarkStart w:id="18" w:name="X6427fd93f406c8c9388d01d640b97858f3b016b"/>
    <w:p>
      <w:pPr>
        <w:pStyle w:val="Heading3"/>
      </w:pPr>
      <w:r>
        <w:t xml:space="preserve">2.2 MS-SPLIT </w:t>
      </w:r>
      <w:r>
        <w:rPr>
          <w:rFonts w:hint="eastAsia"/>
        </w:rPr>
        <w:t xml:space="preserve">微服务划分图</w:t>
      </w:r>
    </w:p>
    <w:p>
      <w:pPr>
        <w:pStyle w:val="FirstParagraph"/>
      </w:pPr>
      <w:r>
        <w:rPr>
          <w:rFonts w:hint="eastAsia"/>
        </w:rPr>
        <w:t xml:space="preserve">微服务边界、落地状态、目标接口和逐表数据归属以</w:t>
      </w:r>
      <w:r>
        <w:t xml:space="preserve"> </w:t>
      </w:r>
      <w:r>
        <w:rPr>
          <w:rStyle w:val="VerbatimChar"/>
          <w:rFonts w:hint="eastAsia"/>
        </w:rPr>
        <w:t xml:space="preserve">微服务接口与数据归属.md</w:t>
      </w:r>
      <w:r>
        <w:t xml:space="preserve"> </w:t>
      </w:r>
      <w:r>
        <w:rPr>
          <w:rFonts w:hint="eastAsia"/>
        </w:rPr>
        <w:t xml:space="preserve">为准。图中实线服务已经作为独立进程部署，虚线服务的完整业务目前仍由单体承载。</w:t>
      </w:r>
    </w:p>
    <w:p>
      <w:pPr>
        <w:pStyle w:val="BodyText"/>
      </w:pPr>
      <w:r>
        <w:drawing>
          <wp:inline>
            <wp:extent cx="5334000" cy="3438209"/>
            <wp:effectExtent b="0" l="0" r="0" t="0"/>
            <wp:docPr descr="图 MS-SPLIT 微服务划分图" title="" id="16" name="Picture"/>
            <a:graphic>
              <a:graphicData uri="http://schemas.openxmlformats.org/drawingml/2006/picture">
                <pic:pic>
                  <pic:nvPicPr>
                    <pic:cNvPr descr="images/33-MS-SPL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Xf1acc31887e7f90ff5c3355c387dbab7ba740a9"/>
    <w:p>
      <w:pPr>
        <w:pStyle w:val="Heading3"/>
      </w:pPr>
      <w:r>
        <w:t xml:space="preserve">2.3 </w:t>
      </w:r>
      <w:r>
        <w:rPr>
          <w:rFonts w:hint="eastAsia"/>
        </w:rPr>
        <w:t xml:space="preserve">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收集输入、呈现状态、组织页面流程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地址、商品筛选、评价列表等复用交互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Redux </w:t>
            </w:r>
            <w:r>
              <w:rPr>
                <w:rFonts w:hint="eastAsia"/>
              </w:rPr>
              <w:t xml:space="preserve">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本地购物车归属、合并、库存限制和删除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frontend/src/store/cartSlice.js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 API 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Base URL、JWT </w:t>
            </w:r>
            <w:r>
              <w:rPr>
                <w:rFonts w:hint="eastAsia"/>
              </w:rPr>
              <w:t xml:space="preserve">和业务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frontend/src/services/api.js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中间件、路由装配、健康检查、错误响应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JWT、角色保护、限流、CORS、安全头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Modules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URL/HTTP </w:t>
            </w:r>
            <w:r>
              <w:rPr>
                <w:rFonts w:hint="eastAsia"/>
              </w:rPr>
              <w:t xml:space="preserve">方法映射到控制器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执行业务校验、状态转换和事务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backend/controllers/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Sequelize 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</w:t>
            </w:r>
            <w:r>
              <w:t xml:space="preserve"> 8 </w:t>
            </w:r>
            <w:r>
              <w:rPr>
                <w:rFonts w:hint="eastAsia"/>
              </w:rPr>
              <w:t xml:space="preserve">类持久化对象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保存核心业务数据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03_devops/docker-compose.yml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转发拆分服务并在上游失败时</w:t>
            </w:r>
            <w:r>
              <w:t xml:space="preserve"> 503 </w:t>
            </w: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services/api-gateway/</w:t>
            </w:r>
          </w:p>
        </w:tc>
      </w:tr>
    </w:tbl>
    <w:bookmarkEnd w:id="19"/>
    <w:bookmarkEnd w:id="20"/>
    <w:bookmarkStart w:id="21" w:name="X304582f6217108f35191b74ff5fa825041c5cc1"/>
    <w:p>
      <w:pPr>
        <w:pStyle w:val="Heading2"/>
      </w:pPr>
      <w:r>
        <w:t xml:space="preserve">3. </w:t>
      </w:r>
      <w:r>
        <w:rPr>
          <w:rFonts w:hint="eastAsia"/>
        </w:rPr>
        <w:t xml:space="preserve">接口设计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注册、登录、资料、密码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注册登录公开，其余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列表、详情、推荐、本人商品、增改删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查询公开，写操作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/api/secondhand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二手列表、详情、发布和维护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查询公开，写操作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创建、列表、支付、取消、发货、确认</w:t>
            </w:r>
          </w:p>
        </w:tc>
        <w:tc>
          <w:tcPr/>
          <w:p>
            <w:pPr>
              <w:pStyle w:val="Compact"/>
            </w:pPr>
            <w:r>
              <w:t xml:space="preserve">JWT + </w:t>
            </w:r>
            <w:r>
              <w:rPr>
                <w:rFonts w:hint="eastAsia"/>
              </w:rPr>
              <w:t xml:space="preserve">买卖角色校验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我的店铺、认证、公开店铺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</w:t>
            </w:r>
            <w:r>
              <w:rPr>
                <w:rFonts w:hint="eastAsia"/>
              </w:rPr>
              <w:t xml:space="preserve">JWT，公开查询无需登录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/api/evaluations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创建、三类查询、回复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商品评价公开，其余按需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会话、消息、申请处理</w:t>
            </w:r>
          </w:p>
        </w:tc>
        <w:tc>
          <w:tcPr/>
          <w:p>
            <w:pPr>
              <w:pStyle w:val="Compact"/>
            </w:pPr>
            <w:r>
              <w:t xml:space="preserve">JWT + </w:t>
            </w:r>
            <w:r>
              <w:rPr>
                <w:rFonts w:hint="eastAsia"/>
              </w:rPr>
              <w:t xml:space="preserve">会话成员校验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读取和整体替换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/api/uploads/images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图片白名单上传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统一响应约束：失败响应包含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；全局错误响应带</w:t>
      </w:r>
      <w:r>
        <w:t xml:space="preserve"> </w:t>
      </w:r>
      <w:r>
        <w:rPr>
          <w:rStyle w:val="VerbatimChar"/>
        </w:rPr>
        <w:t xml:space="preserve">requestId</w:t>
      </w:r>
      <w:r>
        <w:rPr>
          <w:rFonts w:hint="eastAsia"/>
        </w:rPr>
        <w:t xml:space="preserve">；生产环境不向客户端暴露内部异常细节。</w:t>
      </w:r>
    </w:p>
    <w:bookmarkEnd w:id="21"/>
    <w:bookmarkStart w:id="22" w:name="Xaf5a746ee2507e11870cadd2c462f629cfe5bc8"/>
    <w:p>
      <w:pPr>
        <w:pStyle w:val="Heading2"/>
      </w:pPr>
      <w:r>
        <w:t xml:space="preserve">4. </w:t>
      </w:r>
      <w:r>
        <w:rPr>
          <w:rFonts w:hint="eastAsia"/>
        </w:rPr>
        <w:t xml:space="preserve">数据与事务设计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所有者/模型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用户名、邮箱唯一；密码哈希存储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一个用户至多一个店铺；发布商品前须已认证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卖家归属不可由请求篡改；卖家状态采用白名单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保存商品和地址快照；创建/取消使用事务同步库存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同一订单、商品、买家不可重复；仅完成订单可评价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账号隔离；完整字段才保存；默认地址唯一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会话/消息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会话参与者授权；议价申请只能由卖家处理一次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购物车仅在浏览器本地存储，使用访客或用户维度的键隔离，不作为</w:t>
      </w:r>
      <w:r>
        <w:t xml:space="preserve"> MySQL </w:t>
      </w:r>
      <w:r>
        <w:rPr>
          <w:rFonts w:hint="eastAsia"/>
        </w:rPr>
        <w:t xml:space="preserve">实体。</w:t>
      </w:r>
    </w:p>
    <w:bookmarkEnd w:id="22"/>
    <w:bookmarkStart w:id="83" w:name="Xcd7736d18544c733f811c7c7edf96febf50b724"/>
    <w:p>
      <w:pPr>
        <w:pStyle w:val="Heading2"/>
      </w:pPr>
      <w:r>
        <w:t xml:space="preserve">5. </w:t>
      </w:r>
      <w:r>
        <w:rPr>
          <w:rFonts w:hint="eastAsia"/>
        </w:rPr>
        <w:t xml:space="preserve">组件级业务模型</w:t>
      </w:r>
    </w:p>
    <w:bookmarkStart w:id="27" w:name="X9aad58de2647bf0769a03cc33d1b9a79a0d0ad7"/>
    <w:p>
      <w:pPr>
        <w:pStyle w:val="Heading3"/>
      </w:pPr>
      <w:r>
        <w:t xml:space="preserve">5.1 COMP-SEQ01 </w:t>
      </w:r>
      <w:r>
        <w:rPr>
          <w:rFonts w:hint="eastAsia"/>
        </w:rPr>
        <w:t xml:space="preserve">注册与登录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13-COMP-SEQ01 UC01 注册与登录组件级顺序图" title="" id="24" name="Picture"/>
            <a:graphic>
              <a:graphicData uri="http://schemas.openxmlformats.org/drawingml/2006/picture">
                <pic:pic>
                  <pic:nvPicPr>
                    <pic:cNvPr descr="images/13-COMP-SEQ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26">
        <w:r>
          <w:rPr>
            <w:rStyle w:val="Hyperlink"/>
          </w:rPr>
          <w:t xml:space="preserve">13-COMP-SEQ01.mmd</w:t>
        </w:r>
      </w:hyperlink>
    </w:p>
    <w:bookmarkEnd w:id="27"/>
    <w:bookmarkStart w:id="32" w:name="X3ea8c8069f454cbe4cb27d864b342e278464be5"/>
    <w:p>
      <w:pPr>
        <w:pStyle w:val="Heading3"/>
      </w:pPr>
      <w:r>
        <w:t xml:space="preserve">5.2 COMP-SEQ02 </w:t>
      </w:r>
      <w:r>
        <w:rPr>
          <w:rFonts w:hint="eastAsia"/>
        </w:rPr>
        <w:t xml:space="preserve">商品检索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14-COMP-SEQ02 UC02 商品检索组件级顺序图" title="" id="29" name="Picture"/>
            <a:graphic>
              <a:graphicData uri="http://schemas.openxmlformats.org/drawingml/2006/picture">
                <pic:pic>
                  <pic:nvPicPr>
                    <pic:cNvPr descr="images/14-COMP-SEQ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31">
        <w:r>
          <w:rPr>
            <w:rStyle w:val="Hyperlink"/>
          </w:rPr>
          <w:t xml:space="preserve">14-COMP-SEQ02.mmd</w:t>
        </w:r>
      </w:hyperlink>
    </w:p>
    <w:bookmarkEnd w:id="32"/>
    <w:bookmarkStart w:id="37" w:name="X424388bd679950f66120f469aeac85f65721a7d"/>
    <w:p>
      <w:pPr>
        <w:pStyle w:val="Heading3"/>
      </w:pPr>
      <w:r>
        <w:t xml:space="preserve">5.3 COMP-SEQ03 </w:t>
      </w:r>
      <w:r>
        <w:rPr>
          <w:rFonts w:hint="eastAsia"/>
        </w:rPr>
        <w:t xml:space="preserve">商品详情与购物车</w:t>
      </w:r>
    </w:p>
    <w:p>
      <w:pPr>
        <w:pStyle w:val="FirstParagraph"/>
      </w:pPr>
      <w:r>
        <w:drawing>
          <wp:inline>
            <wp:extent cx="5334000" cy="3416797"/>
            <wp:effectExtent b="0" l="0" r="0" t="0"/>
            <wp:docPr descr="图 15-COMP-SEQ03 UC03 商品详情与购物车组件级顺序图" title="" id="34" name="Picture"/>
            <a:graphic>
              <a:graphicData uri="http://schemas.openxmlformats.org/drawingml/2006/picture">
                <pic:pic>
                  <pic:nvPicPr>
                    <pic:cNvPr descr="images/15-COMP-SEQ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36">
        <w:r>
          <w:rPr>
            <w:rStyle w:val="Hyperlink"/>
          </w:rPr>
          <w:t xml:space="preserve">15-COMP-SEQ03.mmd</w:t>
        </w:r>
      </w:hyperlink>
    </w:p>
    <w:bookmarkEnd w:id="37"/>
    <w:bookmarkStart w:id="42" w:name="Xca83e344060cd6dd64bb7b14c062e22c5961d3f"/>
    <w:p>
      <w:pPr>
        <w:pStyle w:val="Heading3"/>
      </w:pPr>
      <w:r>
        <w:t xml:space="preserve">5.4 COMP-SEQ04 </w:t>
      </w:r>
      <w:r>
        <w:rPr>
          <w:rFonts w:hint="eastAsia"/>
        </w:rPr>
        <w:t xml:space="preserve">订单交易闭环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16-COMP-SEQ04 UC04 订单交易闭环组件级顺序图" title="" id="39" name="Picture"/>
            <a:graphic>
              <a:graphicData uri="http://schemas.openxmlformats.org/drawingml/2006/picture">
                <pic:pic>
                  <pic:nvPicPr>
                    <pic:cNvPr descr="images/16-COMP-SEQ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41">
        <w:r>
          <w:rPr>
            <w:rStyle w:val="Hyperlink"/>
          </w:rPr>
          <w:t xml:space="preserve">16-COMP-SEQ04.mmd</w:t>
        </w:r>
      </w:hyperlink>
    </w:p>
    <w:bookmarkEnd w:id="42"/>
    <w:bookmarkStart w:id="47" w:name="X9ca8b665544fff64b73f2dbba6ca8b6f2def8b4"/>
    <w:p>
      <w:pPr>
        <w:pStyle w:val="Heading3"/>
      </w:pPr>
      <w:r>
        <w:t xml:space="preserve">5.5 COMP-SEQ05 </w:t>
      </w:r>
      <w:r>
        <w:rPr>
          <w:rFonts w:hint="eastAsia"/>
        </w:rPr>
        <w:t xml:space="preserve">二手商品发布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17-COMP-SEQ05 UC05 二手商品发布组件级顺序图" title="" id="44" name="Picture"/>
            <a:graphic>
              <a:graphicData uri="http://schemas.openxmlformats.org/drawingml/2006/picture">
                <pic:pic>
                  <pic:nvPicPr>
                    <pic:cNvPr descr="images/17-COMP-SEQ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46">
        <w:r>
          <w:rPr>
            <w:rStyle w:val="Hyperlink"/>
          </w:rPr>
          <w:t xml:space="preserve">17-COMP-SEQ05.mmd</w:t>
        </w:r>
      </w:hyperlink>
    </w:p>
    <w:bookmarkEnd w:id="47"/>
    <w:bookmarkStart w:id="52" w:name="X61ab4e33d359b8e192a52a4258d2032d5300842"/>
    <w:p>
      <w:pPr>
        <w:pStyle w:val="Heading3"/>
      </w:pPr>
      <w:r>
        <w:t xml:space="preserve">5.6 COMP-SEQ06 </w:t>
      </w:r>
      <w:r>
        <w:rPr>
          <w:rFonts w:hint="eastAsia"/>
        </w:rPr>
        <w:t xml:space="preserve">店铺与商品管理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18-COMP-SEQ06 UC06 店铺与商品管理组件级顺序图" title="" id="49" name="Picture"/>
            <a:graphic>
              <a:graphicData uri="http://schemas.openxmlformats.org/drawingml/2006/picture">
                <pic:pic>
                  <pic:nvPicPr>
                    <pic:cNvPr descr="images/18-COMP-SEQ0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51">
        <w:r>
          <w:rPr>
            <w:rStyle w:val="Hyperlink"/>
          </w:rPr>
          <w:t xml:space="preserve">18-COMP-SEQ06.mmd</w:t>
        </w:r>
      </w:hyperlink>
    </w:p>
    <w:bookmarkEnd w:id="52"/>
    <w:bookmarkStart w:id="57" w:name="X341d5012e05d9e67e8cb7c7c0022cab59f0588c"/>
    <w:p>
      <w:pPr>
        <w:pStyle w:val="Heading3"/>
      </w:pPr>
      <w:r>
        <w:t xml:space="preserve">5.7 COMP-SEQ07 </w:t>
      </w:r>
      <w:r>
        <w:rPr>
          <w:rFonts w:hint="eastAsia"/>
        </w:rPr>
        <w:t xml:space="preserve">评价与回复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19-COMP-SEQ07 UC07 评价与回复组件级顺序图" title="" id="54" name="Picture"/>
            <a:graphic>
              <a:graphicData uri="http://schemas.openxmlformats.org/drawingml/2006/picture">
                <pic:pic>
                  <pic:nvPicPr>
                    <pic:cNvPr descr="images/19-COMP-SEQ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56">
        <w:r>
          <w:rPr>
            <w:rStyle w:val="Hyperlink"/>
          </w:rPr>
          <w:t xml:space="preserve">19-COMP-SEQ07.mmd</w:t>
        </w:r>
      </w:hyperlink>
    </w:p>
    <w:bookmarkEnd w:id="57"/>
    <w:bookmarkStart w:id="62" w:name="Xc47ceb27f8a7d94335f4961dd9ed4637238354b"/>
    <w:p>
      <w:pPr>
        <w:pStyle w:val="Heading3"/>
      </w:pPr>
      <w:r>
        <w:t xml:space="preserve">5.8 COMP-SEQ08 </w:t>
      </w:r>
      <w:r>
        <w:rPr>
          <w:rFonts w:hint="eastAsia"/>
        </w:rPr>
        <w:t xml:space="preserve">聊天议价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20-COMP-SEQ08 UC08 聊天议价组件级顺序图" title="" id="59" name="Picture"/>
            <a:graphic>
              <a:graphicData uri="http://schemas.openxmlformats.org/drawingml/2006/picture">
                <pic:pic>
                  <pic:nvPicPr>
                    <pic:cNvPr descr="images/20-COMP-SEQ0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61">
        <w:r>
          <w:rPr>
            <w:rStyle w:val="Hyperlink"/>
          </w:rPr>
          <w:t xml:space="preserve">20-COMP-SEQ08.mmd</w:t>
        </w:r>
      </w:hyperlink>
    </w:p>
    <w:p>
      <w:pPr>
        <w:pStyle w:val="FirstParagraph"/>
      </w:pPr>
      <w:r>
        <w:rPr>
          <w:rFonts w:hint="eastAsia"/>
        </w:rPr>
        <w:t xml:space="preserve">成交后的购买由</w:t>
      </w:r>
      <w:r>
        <w:t xml:space="preserve"> </w:t>
      </w:r>
      <w:r>
        <w:rPr>
          <w:rStyle w:val="VerbatimChar"/>
        </w:rPr>
        <w:t xml:space="preserve">ChatPage -&gt; orderController -&gt; ChatMessage/ChatConversation/Order</w:t>
      </w:r>
      <w:r>
        <w:t xml:space="preserve"> </w:t>
      </w:r>
      <w:r>
        <w:rPr>
          <w:rFonts w:hint="eastAsia"/>
        </w:rPr>
        <w:t xml:space="preserve">完成：订单控制器锁定议价消息，验证成交状态、买家和商品，在订单事务内按议价金额创建订单并写入</w:t>
      </w:r>
      <w:r>
        <w:t xml:space="preserve"> </w:t>
      </w:r>
      <w:r>
        <w:rPr>
          <w:rStyle w:val="VerbatimChar"/>
        </w:rPr>
        <w:t xml:space="preserve">redeemedAt</w:t>
      </w:r>
      <w:r>
        <w:t xml:space="preserve">。</w:t>
      </w:r>
    </w:p>
    <w:bookmarkEnd w:id="62"/>
    <w:bookmarkStart w:id="67" w:name="X4a762cb8884d709d228ae45860cc806b436eb2a"/>
    <w:p>
      <w:pPr>
        <w:pStyle w:val="Heading3"/>
      </w:pPr>
      <w:r>
        <w:t xml:space="preserve">5.9 COMP-SEQ09 </w:t>
      </w:r>
      <w:r>
        <w:rPr>
          <w:rFonts w:hint="eastAsia"/>
        </w:rPr>
        <w:t xml:space="preserve">地址维护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21-COMP-SEQ09 UC09 地址维护组件级顺序图" title="" id="64" name="Picture"/>
            <a:graphic>
              <a:graphicData uri="http://schemas.openxmlformats.org/drawingml/2006/picture">
                <pic:pic>
                  <pic:nvPicPr>
                    <pic:cNvPr descr="images/21-COMP-SEQ0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66">
        <w:r>
          <w:rPr>
            <w:rStyle w:val="Hyperlink"/>
          </w:rPr>
          <w:t xml:space="preserve">21-COMP-SEQ09.mmd</w:t>
        </w:r>
      </w:hyperlink>
    </w:p>
    <w:bookmarkEnd w:id="67"/>
    <w:bookmarkStart w:id="72" w:name="X652e46e7f3886bfe113825dd43f5178863cbefd"/>
    <w:p>
      <w:pPr>
        <w:pStyle w:val="Heading3"/>
      </w:pPr>
      <w:r>
        <w:t xml:space="preserve">5.10 COMP-SEQ10 </w:t>
      </w:r>
      <w:r>
        <w:rPr>
          <w:rFonts w:hint="eastAsia"/>
        </w:rPr>
        <w:t xml:space="preserve">订单与物流查询</w:t>
      </w:r>
    </w:p>
    <w:p>
      <w:pPr>
        <w:pStyle w:val="FirstParagraph"/>
      </w:pPr>
      <w:r>
        <w:drawing>
          <wp:inline>
            <wp:extent cx="5334000" cy="2847813"/>
            <wp:effectExtent b="0" l="0" r="0" t="0"/>
            <wp:docPr descr="图 37-COMP-SEQ10 UC10 订单与物流查询组件级顺序图" title="" id="69" name="Picture"/>
            <a:graphic>
              <a:graphicData uri="http://schemas.openxmlformats.org/drawingml/2006/picture">
                <pic:pic>
                  <pic:nvPicPr>
                    <pic:cNvPr descr="images/37-COMP-SEQ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71">
        <w:r>
          <w:rPr>
            <w:rStyle w:val="Hyperlink"/>
          </w:rPr>
          <w:t xml:space="preserve">37-COMP-SEQ10.mmd</w:t>
        </w:r>
      </w:hyperlink>
    </w:p>
    <w:bookmarkEnd w:id="72"/>
    <w:bookmarkStart w:id="77" w:name="X1c9cc59f1513778336e9c1a1cf7f54833978771"/>
    <w:p>
      <w:pPr>
        <w:pStyle w:val="Heading3"/>
      </w:pPr>
      <w:r>
        <w:t xml:space="preserve">5.11 COMP-SEQ11 </w:t>
      </w:r>
      <w:r>
        <w:rPr>
          <w:rFonts w:hint="eastAsia"/>
        </w:rPr>
        <w:t xml:space="preserve">取消订单与库存恢复</w:t>
      </w:r>
    </w:p>
    <w:p>
      <w:pPr>
        <w:pStyle w:val="FirstParagraph"/>
      </w:pPr>
      <w:r>
        <w:drawing>
          <wp:inline>
            <wp:extent cx="5334000" cy="2886635"/>
            <wp:effectExtent b="0" l="0" r="0" t="0"/>
            <wp:docPr descr="图 38-COMP-SEQ11 UC11 取消订单与库存恢复组件级顺序图" title="" id="74" name="Picture"/>
            <a:graphic>
              <a:graphicData uri="http://schemas.openxmlformats.org/drawingml/2006/picture">
                <pic:pic>
                  <pic:nvPicPr>
                    <pic:cNvPr descr="images/38-COMP-SEQ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76">
        <w:r>
          <w:rPr>
            <w:rStyle w:val="Hyperlink"/>
          </w:rPr>
          <w:t xml:space="preserve">38-COMP-SEQ11.mmd</w:t>
        </w:r>
      </w:hyperlink>
    </w:p>
    <w:bookmarkEnd w:id="77"/>
    <w:bookmarkStart w:id="82" w:name="X52405a0307b17ce07a26bb917ea7ed2578fdeb5"/>
    <w:p>
      <w:pPr>
        <w:pStyle w:val="Heading3"/>
      </w:pPr>
      <w:r>
        <w:t xml:space="preserve">5.12 COMP-SEQ12 </w:t>
      </w:r>
      <w:r>
        <w:rPr>
          <w:rFonts w:hint="eastAsia"/>
        </w:rPr>
        <w:t xml:space="preserve">公开店铺与卖家信用</w:t>
      </w:r>
    </w:p>
    <w:p>
      <w:pPr>
        <w:pStyle w:val="FirstParagraph"/>
      </w:pPr>
      <w:r>
        <w:drawing>
          <wp:inline>
            <wp:extent cx="5334000" cy="2576593"/>
            <wp:effectExtent b="0" l="0" r="0" t="0"/>
            <wp:docPr descr="图 39-COMP-SEQ12 UC12 公开店铺与卖家信用组件级顺序图" title="" id="79" name="Picture"/>
            <a:graphic>
              <a:graphicData uri="http://schemas.openxmlformats.org/drawingml/2006/picture">
                <pic:pic>
                  <pic:nvPicPr>
                    <pic:cNvPr descr="images/39-COMP-SEQ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81">
        <w:r>
          <w:rPr>
            <w:rStyle w:val="Hyperlink"/>
          </w:rPr>
          <w:t xml:space="preserve">39-COMP-SEQ12.mmd</w:t>
        </w:r>
      </w:hyperlink>
    </w:p>
    <w:bookmarkEnd w:id="82"/>
    <w:bookmarkEnd w:id="83"/>
    <w:bookmarkStart w:id="84" w:name="X1a44ab470dff2efd1cdda23cfefec22a3c4b1fb"/>
    <w:p>
      <w:pPr>
        <w:pStyle w:val="Heading2"/>
      </w:pPr>
      <w:r>
        <w:t xml:space="preserve">6. </w:t>
      </w:r>
      <w:r>
        <w:rPr>
          <w:rFonts w:hint="eastAsia"/>
        </w:rPr>
        <w:t xml:space="preserve">安全与异常设计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protect</w:t>
      </w:r>
      <w:r>
        <w:t xml:space="preserve"> </w:t>
      </w:r>
      <w:r>
        <w:rPr>
          <w:rFonts w:hint="eastAsia"/>
        </w:rPr>
        <w:t xml:space="preserve">校验</w:t>
      </w:r>
      <w:r>
        <w:t xml:space="preserve"> Bearer </w:t>
      </w:r>
      <w:r>
        <w:rPr>
          <w:rFonts w:hint="eastAsia"/>
        </w:rPr>
        <w:t xml:space="preserve">JWT，并加载当前用户。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商品、订单、评价和聊天控制器在业务层再次校验资源归属和当前状态。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注册参数、分页、地址、物流、议价金额、上传</w:t>
      </w:r>
      <w:r>
        <w:t xml:space="preserve"> MIME </w:t>
      </w:r>
      <w:r>
        <w:rPr>
          <w:rFonts w:hint="eastAsia"/>
        </w:rPr>
        <w:t xml:space="preserve">类型采用白名单或规范化。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创建/取消订单使用</w:t>
      </w:r>
      <w:r>
        <w:t xml:space="preserve"> Sequelize </w:t>
      </w:r>
      <w:r>
        <w:rPr>
          <w:rFonts w:hint="eastAsia"/>
        </w:rPr>
        <w:t xml:space="preserve">transaction；中途失败回滚订单与库存。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全局安全中间件提供限流、安全响应头、CORS、请求编号和生产密钥检查。</w:t>
      </w:r>
    </w:p>
    <w:p>
      <w:pPr>
        <w:pStyle w:val="Compact"/>
        <w:numPr>
          <w:ilvl w:val="0"/>
          <w:numId w:val="1001"/>
        </w:numPr>
      </w:pPr>
      <w:r>
        <w:t xml:space="preserve">API Gateway </w:t>
      </w:r>
      <w:r>
        <w:rPr>
          <w:rFonts w:hint="eastAsia"/>
        </w:rPr>
        <w:t xml:space="preserve">捕获上游不可用并返回</w:t>
      </w:r>
      <w:r>
        <w:t xml:space="preserve"> </w:t>
      </w:r>
      <w:r>
        <w:rPr>
          <w:rFonts w:hint="eastAsia"/>
        </w:rPr>
        <w:t xml:space="preserve">503，不伪造成功结果。</w:t>
      </w:r>
    </w:p>
    <w:bookmarkEnd w:id="84"/>
    <w:bookmarkStart w:id="85" w:name="X4ed6b3e2051926334667009d4de35819c5eb7c0"/>
    <w:p>
      <w:pPr>
        <w:pStyle w:val="Heading2"/>
      </w:pPr>
      <w:r>
        <w:t xml:space="preserve">7. </w:t>
      </w:r>
      <w:r>
        <w:rPr>
          <w:rFonts w:hint="eastAsia"/>
        </w:rPr>
        <w:t xml:space="preserve">运行与部署设计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本地单体</w:t>
            </w:r>
          </w:p>
        </w:tc>
        <w:tc>
          <w:tcPr/>
          <w:p>
            <w:pPr>
              <w:pStyle w:val="Compact"/>
            </w:pPr>
            <w:r>
              <w:t xml:space="preserve">Frontend + Backend + MySQL 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rPr>
                <w:rFonts w:hint="eastAsia"/>
              </w:rPr>
              <w:t xml:space="preserve">返回应用和数据库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微服务实验</w:t>
            </w:r>
          </w:p>
        </w:tc>
        <w:tc>
          <w:tcPr/>
          <w:p>
            <w:pPr>
              <w:pStyle w:val="Compact"/>
            </w:pPr>
            <w:r>
              <w:t xml:space="preserve">Gateway + User + Product + 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各服务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rPr>
                <w:rFonts w:hint="eastAsia"/>
              </w:rPr>
              <w:t xml:space="preserve">，网关真实转发和降级测试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单体及微服务</w:t>
            </w:r>
            <w:r>
              <w:t xml:space="preserve"> manifests</w:t>
            </w:r>
          </w:p>
        </w:tc>
        <w:tc>
          <w:tcPr/>
          <w:p>
            <w:pPr>
              <w:pStyle w:val="Compact"/>
            </w:pPr>
            <w:r>
              <w:t xml:space="preserve">Deployment rollout + Pod </w:t>
            </w:r>
            <w:r>
              <w:rPr>
                <w:rFonts w:hint="eastAsia"/>
              </w:rPr>
              <w:t xml:space="preserve">内</w:t>
            </w:r>
            <w:r>
              <w:t xml:space="preserve"> HTTP </w:t>
            </w: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四类测试均成功后才允许镜像和部署阶段</w:t>
            </w:r>
          </w:p>
        </w:tc>
      </w:tr>
    </w:tbl>
    <w:bookmarkEnd w:id="85"/>
    <w:bookmarkStart w:id="86" w:name="Xde20ab5b9c978f2ce3095edfe1f55e0ae4eebf6"/>
    <w:p>
      <w:pPr>
        <w:pStyle w:val="Heading2"/>
      </w:pPr>
      <w:r>
        <w:t xml:space="preserve">8. </w:t>
      </w:r>
      <w:r>
        <w:rPr>
          <w:rFonts w:hint="eastAsia"/>
        </w:rPr>
        <w:t xml:space="preserve">设计约束</w:t>
      </w:r>
    </w:p>
    <w:p>
      <w:pPr>
        <w:pStyle w:val="Compact"/>
        <w:numPr>
          <w:ilvl w:val="0"/>
          <w:numId w:val="1002"/>
        </w:numPr>
      </w:pPr>
      <w:r>
        <w:t xml:space="preserve">UC01-UC12 </w:t>
      </w:r>
      <w:r>
        <w:rPr>
          <w:rFonts w:hint="eastAsia"/>
        </w:rPr>
        <w:t xml:space="preserve">的完整业务验收以单体</w:t>
      </w:r>
      <w:r>
        <w:t xml:space="preserve"> API </w:t>
      </w:r>
      <w:r>
        <w:rPr>
          <w:rFonts w:hint="eastAsia"/>
        </w:rPr>
        <w:t xml:space="preserve">为准，微服务目录用于课程拆分和部署对比，不虚构未迁移业务。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商品图片保存在本地上传目录，生产化</w:t>
      </w:r>
      <w:r>
        <w:t xml:space="preserve"> OSS </w:t>
      </w:r>
      <w:r>
        <w:rPr>
          <w:rFonts w:hint="eastAsia"/>
        </w:rPr>
        <w:t xml:space="preserve">不在当前范围。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支付只改变站内订单状态，不对接资金系统；物流由卖家录入。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店铺认证为资料完整后的演示认证，不代表人工审核。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15" Target="media/rId15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hyperlink" Id="rId13" Target="models/12-ARCH-COMP.mmd" TargetMode="External" /><Relationship Type="http://schemas.openxmlformats.org/officeDocument/2006/relationships/hyperlink" Id="rId26" Target="models/13-COMP-SEQ01.mmd" TargetMode="External" /><Relationship Type="http://schemas.openxmlformats.org/officeDocument/2006/relationships/hyperlink" Id="rId31" Target="models/14-COMP-SEQ02.mmd" TargetMode="External" /><Relationship Type="http://schemas.openxmlformats.org/officeDocument/2006/relationships/hyperlink" Id="rId36" Target="models/15-COMP-SEQ03.mmd" TargetMode="External" /><Relationship Type="http://schemas.openxmlformats.org/officeDocument/2006/relationships/hyperlink" Id="rId41" Target="models/16-COMP-SEQ04.mmd" TargetMode="External" /><Relationship Type="http://schemas.openxmlformats.org/officeDocument/2006/relationships/hyperlink" Id="rId46" Target="models/17-COMP-SEQ05.mmd" TargetMode="External" /><Relationship Type="http://schemas.openxmlformats.org/officeDocument/2006/relationships/hyperlink" Id="rId51" Target="models/18-COMP-SEQ06.mmd" TargetMode="External" /><Relationship Type="http://schemas.openxmlformats.org/officeDocument/2006/relationships/hyperlink" Id="rId56" Target="models/19-COMP-SEQ07.mmd" TargetMode="External" /><Relationship Type="http://schemas.openxmlformats.org/officeDocument/2006/relationships/hyperlink" Id="rId61" Target="models/20-COMP-SEQ08.mmd" TargetMode="External" /><Relationship Type="http://schemas.openxmlformats.org/officeDocument/2006/relationships/hyperlink" Id="rId66" Target="models/21-COMP-SEQ09.mmd" TargetMode="External" /><Relationship Type="http://schemas.openxmlformats.org/officeDocument/2006/relationships/hyperlink" Id="rId71" Target="models/37-COMP-SEQ10.mmd" TargetMode="External" /><Relationship Type="http://schemas.openxmlformats.org/officeDocument/2006/relationships/hyperlink" Id="rId76" Target="models/38-COMP-SEQ11.mmd" TargetMode="External" /><Relationship Type="http://schemas.openxmlformats.org/officeDocument/2006/relationships/hyperlink" Id="rId81" Target="models/39-COMP-SEQ12.m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odels/12-ARCH-COMP.mmd" TargetMode="External" /><Relationship Type="http://schemas.openxmlformats.org/officeDocument/2006/relationships/hyperlink" Id="rId26" Target="models/13-COMP-SEQ01.mmd" TargetMode="External" /><Relationship Type="http://schemas.openxmlformats.org/officeDocument/2006/relationships/hyperlink" Id="rId31" Target="models/14-COMP-SEQ02.mmd" TargetMode="External" /><Relationship Type="http://schemas.openxmlformats.org/officeDocument/2006/relationships/hyperlink" Id="rId36" Target="models/15-COMP-SEQ03.mmd" TargetMode="External" /><Relationship Type="http://schemas.openxmlformats.org/officeDocument/2006/relationships/hyperlink" Id="rId41" Target="models/16-COMP-SEQ04.mmd" TargetMode="External" /><Relationship Type="http://schemas.openxmlformats.org/officeDocument/2006/relationships/hyperlink" Id="rId46" Target="models/17-COMP-SEQ05.mmd" TargetMode="External" /><Relationship Type="http://schemas.openxmlformats.org/officeDocument/2006/relationships/hyperlink" Id="rId51" Target="models/18-COMP-SEQ06.mmd" TargetMode="External" /><Relationship Type="http://schemas.openxmlformats.org/officeDocument/2006/relationships/hyperlink" Id="rId56" Target="models/19-COMP-SEQ07.mmd" TargetMode="External" /><Relationship Type="http://schemas.openxmlformats.org/officeDocument/2006/relationships/hyperlink" Id="rId61" Target="models/20-COMP-SEQ08.mmd" TargetMode="External" /><Relationship Type="http://schemas.openxmlformats.org/officeDocument/2006/relationships/hyperlink" Id="rId66" Target="models/21-COMP-SEQ09.mmd" TargetMode="External" /><Relationship Type="http://schemas.openxmlformats.org/officeDocument/2006/relationships/hyperlink" Id="rId71" Target="models/37-COMP-SEQ10.mmd" TargetMode="External" /><Relationship Type="http://schemas.openxmlformats.org/officeDocument/2006/relationships/hyperlink" Id="rId76" Target="models/38-COMP-SEQ11.mmd" TargetMode="External" /><Relationship Type="http://schemas.openxmlformats.org/officeDocument/2006/relationships/hyperlink" Id="rId81" Target="models/39-COMP-SEQ12.m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2026-09-02T07:35:50Z</dcterms:created>
  <dcterms:modified xsi:type="dcterms:W3CDTF">2026-09-02T07:35:50Z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