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sz w:val="36"/>
        </w:rPr>
        <w:t>软件概要设计说明书</w:t>
      </w:r>
    </w:p>
    <w:p>
      <w:pPr>
        <w:pStyle w:val="Heading1"/>
      </w:pPr>
      <w:r>
        <w:rPr>
          <w:rFonts w:ascii="Microsoft YaHei" w:hAnsi="Microsoft YaHei" w:eastAsia="Microsoft YaHei"/>
          <w:sz w:val="22"/>
        </w:rPr>
        <w:t>软件概要设计说明书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1. 文档目的与基线</w:t>
      </w:r>
    </w:p>
    <w:p>
      <w:r>
        <w:rPr>
          <w:rFonts w:ascii="Microsoft YaHei" w:hAnsi="Microsoft YaHei" w:eastAsia="Microsoft YaHei"/>
          <w:b w:val="0"/>
          <w:sz w:val="22"/>
        </w:rPr>
        <w:t>本文把 REQ01-REQ12 分配到可部署组件，说明接口、数据和运行结构，并为 UC01-UC12 分别给出组件级业务模型。设计以当前仓库代码为准，不把尚未实现的 Redis、消息队列、Elasticsearch、第三方支付和外部物流写成现有组件。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759"/>
        <w:gridCol w:w="4759"/>
      </w:tblGrid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项目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设计决定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前端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React 18、React Router、Redux Toolkit、Axios、Vite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核心业务后端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Express 单体 API，完整承载 UC01-UC12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持久化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Sequelize + MySQL 8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微服务实践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API Gateway、User Service、Product Service、Order Service，用于拆分、部署和故障降级实验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部署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Docker Compose、GitHub Actions、Kubernetes/kind</w:t>
            </w:r>
          </w:p>
        </w:tc>
      </w:tr>
      <w:tr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图片存储</w:t>
            </w:r>
          </w:p>
        </w:tc>
        <w:tc>
          <w:tcPr>
            <w:tcW w:type="dxa" w:w="4759"/>
          </w:tcPr>
          <w:p>
            <w:r>
              <w:rPr>
                <w:rFonts w:ascii="Microsoft YaHei" w:hAnsi="Microsoft YaHei" w:eastAsia="Microsoft YaHei"/>
                <w:sz w:val="18"/>
              </w:rPr>
              <w:t>后端本地 `uploads/`，不声明为 OSS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2. 总体架构与组件职责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2.1 ARCH-COMP 总组件图</w:t>
      </w:r>
    </w:p>
    <w:p>
      <w:r>
        <w:rPr>
          <w:rFonts w:ascii="Microsoft YaHei" w:hAnsi="Microsoft YaHei" w:eastAsia="Microsoft YaHei"/>
          <w:b w:val="0"/>
          <w:sz w:val="22"/>
        </w:rPr>
        <w:t>**图 ARCH-COMP：系统组件图。最终 PDF 应在本节保留该图。**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2-ARCH-COMP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12-ARCH-COMP.svg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源文件：12-ARCH-COMP.mmd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2.2 MS-SPLIT 微服务划分图</w:t>
      </w:r>
    </w:p>
    <w:p>
      <w:r>
        <w:rPr>
          <w:rFonts w:ascii="Microsoft YaHei" w:hAnsi="Microsoft YaHei" w:eastAsia="Microsoft YaHei"/>
          <w:b w:val="0"/>
          <w:sz w:val="22"/>
        </w:rPr>
        <w:t>微服务边界、落地状态、目标接口和逐表数据归属以 `微服务接口与数据归属.md` 为准。图中实线服务已经作为独立进程部署，虚线服务的完整业务目前仍由单体承载。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3-MS-SPLIT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33-MS-SPLIT.svg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2.3 组件清单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组件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主要职责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代码位置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React 页面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收集输入、呈现状态、组织页面流程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`frontend/src/pages/`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通用组件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地址、商品筛选、评价列表等复用交互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`frontend/src/components/`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Redux 购物车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本地购物车归属、合并、库存限制和删除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`frontend/src/store/cartSlice.js`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Axios API Client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统一 Base URL、JWT 和业务 API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`frontend/src/services/api.js`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Express App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中间件、路由装配、健康检查、错误响应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`backend/app.js`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Auth/Security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JWT、角色保护、限流、CORS、安全头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`backend/middleware/`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Route Modules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将 URL/HTTP 方法映射到控制器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`backend/routes/`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Controllers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执行业务校验、状态转换和事务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`backend/controllers/`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Sequelize Models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映射 8 类持久化对象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`backend/models/`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MySQL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保存核心业务数据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`03_devops/docker-compose.yml` 中 `mysql`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API Gateway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转发拆分服务并在上游失败时 503 降级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`services/api-gateway/`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3. 接口设计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79"/>
        <w:gridCol w:w="2379"/>
        <w:gridCol w:w="2379"/>
        <w:gridCol w:w="2379"/>
      </w:tblGrid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领域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基础路径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主要操作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认证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`/api/users`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注册、登录、资料、密码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注册登录公开，其余 JWT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`/api/products`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列表、详情、推荐、本人商品、增改删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查询公开，写操作 JWT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二手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`/api/secondhand`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二手列表、详情、发布和维护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查询公开，写操作 JWT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`/api/orders`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创建、列表、支付、取消、发货、确认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 + 买卖角色校验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店铺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`/api/shops`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我的店铺、认证、公开店铺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管理 JWT，公开查询无需登录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`/api/evaluations`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创建、三类查询、回复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商品评价公开，其余按需 JWT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聊天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`/api/chats`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会话、消息、申请处理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 + 会话成员校验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地址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`/api/addresses`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读取和整体替换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</w:t>
            </w:r>
          </w:p>
        </w:tc>
      </w:tr>
      <w:tr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上传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`/api/uploads/images`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图片白名单上传</w:t>
            </w:r>
          </w:p>
        </w:tc>
        <w:tc>
          <w:tcPr>
            <w:tcW w:type="dxa" w:w="2379"/>
          </w:tcPr>
          <w:p>
            <w:r>
              <w:rPr>
                <w:rFonts w:ascii="Microsoft YaHei" w:hAnsi="Microsoft YaHei" w:eastAsia="Microsoft YaHei"/>
                <w:sz w:val="18"/>
              </w:rPr>
              <w:t>JWT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统一响应约束：失败响应包含 `message`；全局错误响应带 `requestId`；生产环境不向客户端暴露内部异常细节。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4. 数据与事务设计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数据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所有者/模型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一致性规则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用户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`User`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用户名、邮箱唯一；密码哈希存储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店铺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`Shop`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一个用户至多一个店铺；发布商品前须已认证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商品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`Product`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卖家归属不可由请求篡改；卖家状态采用白名单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订单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`Order`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保存商品和地址快照；创建/取消使用事务同步库存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评价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`Evaluation`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同一订单、商品、买家不可重复；仅完成订单可评价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地址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`Address`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账号隔离；完整字段才保存；默认地址唯一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会话/消息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`ChatConversation`, `ChatMessage`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会话参与者授权；议价申请只能由卖家处理一次</w:t>
            </w:r>
          </w:p>
        </w:tc>
      </w:tr>
    </w:tbl>
    <w:p>
      <w:r>
        <w:rPr>
          <w:rFonts w:ascii="Microsoft YaHei" w:hAnsi="Microsoft YaHei" w:eastAsia="Microsoft YaHei"/>
          <w:b w:val="0"/>
          <w:sz w:val="22"/>
        </w:rPr>
        <w:t>购物车仅在浏览器本地存储，使用访客或用户维度的键隔离，不作为 MySQL 实体。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5. 组件级业务模型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5.1 COMP-SEQ01 注册与登录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3-COMP-SEQ01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13-COMP-SEQ01.svg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源文件：13-COMP-SEQ01.mmd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5.2 COMP-SEQ02 商品检索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4-COMP-SEQ02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14-COMP-SEQ02.svg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源文件：14-COMP-SEQ02.mmd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5.3 COMP-SEQ03 商品详情与购物车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5-COMP-SEQ03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15-COMP-SEQ03.svg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源文件：15-COMP-SEQ03.mmd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5.4 COMP-SEQ04 订单交易闭环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6-COMP-SEQ04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16-COMP-SEQ04.svg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源文件：16-COMP-SEQ04.mmd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5.5 COMP-SEQ05 二手商品发布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7-COMP-SEQ05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17-COMP-SEQ05.svg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源文件：17-COMP-SEQ05.mmd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5.6 COMP-SEQ06 店铺与商品管理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8-COMP-SEQ06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18-COMP-SEQ06.svg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源文件：18-COMP-SEQ06.mmd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5.7 COMP-SEQ07 评价与回复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9-COMP-SEQ07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19-COMP-SEQ07.svg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源文件：19-COMP-SEQ07.mmd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5.8 COMP-SEQ08 聊天议价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0-COMP-SEQ08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20-COMP-SEQ08.svg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源文件：20-COMP-SEQ08.mmd</w:t>
      </w:r>
    </w:p>
    <w:p>
      <w:r>
        <w:rPr>
          <w:rFonts w:ascii="Microsoft YaHei" w:hAnsi="Microsoft YaHei" w:eastAsia="Microsoft YaHei"/>
          <w:b w:val="0"/>
          <w:sz w:val="22"/>
        </w:rPr>
        <w:t>成交后的购买由 `ChatPage -&gt; orderController -&gt; ChatMessage/ChatConversation/Order` 完成：订单控制器锁定议价消息，验证成交状态、买家和商品，在订单事务内按议价金额创建订单并写入 `redeemedAt`。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5.9 COMP-SEQ09 地址维护</w:t>
      </w:r>
    </w:p>
    <w:p>
      <w:r>
        <w:drawing>
          <wp:inline xmlns:a="http://schemas.openxmlformats.org/drawingml/2006/main" xmlns:pic="http://schemas.openxmlformats.org/drawingml/2006/picture">
            <wp:extent cx="5580000" cy="7221176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1-COMP-SEQ09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722117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21-COMP-SEQ09.svg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源文件：21-COMP-SEQ09.mmd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5.10 COMP-SEQ10 订单与物流查询</w:t>
      </w:r>
    </w:p>
    <w:p>
      <w:r>
        <w:drawing>
          <wp:inline xmlns:a="http://schemas.openxmlformats.org/drawingml/2006/main" xmlns:pic="http://schemas.openxmlformats.org/drawingml/2006/picture">
            <wp:extent cx="5580000" cy="2978269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7-COMP-SEQ10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97826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37-COMP-SEQ10.svg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源文件：37-COMP-SEQ10.mmd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5.11 COMP-SEQ11 取消订单与库存恢复</w:t>
      </w:r>
    </w:p>
    <w:p>
      <w:r>
        <w:drawing>
          <wp:inline xmlns:a="http://schemas.openxmlformats.org/drawingml/2006/main" xmlns:pic="http://schemas.openxmlformats.org/drawingml/2006/picture">
            <wp:extent cx="5580000" cy="3020367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8-COMP-SEQ11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02036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38-COMP-SEQ11.svg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源文件：38-COMP-SEQ11.mmd</w:t>
      </w:r>
    </w:p>
    <w:p>
      <w:pPr>
        <w:pStyle w:val="Heading3"/>
      </w:pPr>
      <w:r>
        <w:rPr>
          <w:rFonts w:ascii="Microsoft YaHei" w:hAnsi="Microsoft YaHei" w:eastAsia="Microsoft YaHei"/>
          <w:sz w:val="22"/>
        </w:rPr>
        <w:t>5.12 COMP-SEQ12 公开店铺与卖家信用</w:t>
      </w:r>
    </w:p>
    <w:p>
      <w:r>
        <w:drawing>
          <wp:inline xmlns:a="http://schemas.openxmlformats.org/drawingml/2006/main" xmlns:pic="http://schemas.openxmlformats.org/drawingml/2006/picture">
            <wp:extent cx="5580000" cy="2695334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39-COMP-SEQ12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269533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Microsoft YaHei" w:hAnsi="Microsoft YaHei" w:eastAsia="Microsoft YaHei"/>
          <w:b w:val="0"/>
          <w:sz w:val="18"/>
        </w:rPr>
        <w:t>39-COMP-SEQ12.svg</w:t>
      </w:r>
    </w:p>
    <w:p>
      <w:r>
        <w:rPr>
          <w:rFonts w:ascii="Microsoft YaHei" w:hAnsi="Microsoft YaHei" w:eastAsia="Microsoft YaHei"/>
          <w:b w:val="0"/>
          <w:sz w:val="22"/>
        </w:rPr>
        <w:t>&gt; 可编辑 Mermaid 源文件：39-COMP-SEQ12.mmd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6. 安全与异常设计</w:t>
      </w:r>
    </w:p>
    <w:p>
      <w:r>
        <w:rPr>
          <w:rFonts w:ascii="Microsoft YaHei" w:hAnsi="Microsoft YaHei" w:eastAsia="Microsoft YaHei"/>
          <w:b w:val="0"/>
          <w:sz w:val="22"/>
        </w:rPr>
        <w:t>1. `protect` 校验 Bearer JWT，并加载当前用户。</w:t>
      </w:r>
    </w:p>
    <w:p>
      <w:r>
        <w:rPr>
          <w:rFonts w:ascii="Microsoft YaHei" w:hAnsi="Microsoft YaHei" w:eastAsia="Microsoft YaHei"/>
          <w:b w:val="0"/>
          <w:sz w:val="22"/>
        </w:rPr>
        <w:t>2. 商品、订单、评价和聊天控制器在业务层再次校验资源归属和当前状态。</w:t>
      </w:r>
    </w:p>
    <w:p>
      <w:r>
        <w:rPr>
          <w:rFonts w:ascii="Microsoft YaHei" w:hAnsi="Microsoft YaHei" w:eastAsia="Microsoft YaHei"/>
          <w:b w:val="0"/>
          <w:sz w:val="22"/>
        </w:rPr>
        <w:t>3. 注册参数、分页、地址、物流、议价金额、上传 MIME 类型采用白名单或规范化。</w:t>
      </w:r>
    </w:p>
    <w:p>
      <w:r>
        <w:rPr>
          <w:rFonts w:ascii="Microsoft YaHei" w:hAnsi="Microsoft YaHei" w:eastAsia="Microsoft YaHei"/>
          <w:b w:val="0"/>
          <w:sz w:val="22"/>
        </w:rPr>
        <w:t>4. 创建/取消订单使用 Sequelize transaction；中途失败回滚订单与库存。</w:t>
      </w:r>
    </w:p>
    <w:p>
      <w:r>
        <w:rPr>
          <w:rFonts w:ascii="Microsoft YaHei" w:hAnsi="Microsoft YaHei" w:eastAsia="Microsoft YaHei"/>
          <w:b w:val="0"/>
          <w:sz w:val="22"/>
        </w:rPr>
        <w:t>5. 全局安全中间件提供限流、安全响应头、CORS、请求编号和生产密钥检查。</w:t>
      </w:r>
    </w:p>
    <w:p>
      <w:r>
        <w:rPr>
          <w:rFonts w:ascii="Microsoft YaHei" w:hAnsi="Microsoft YaHei" w:eastAsia="Microsoft YaHei"/>
          <w:b w:val="0"/>
          <w:sz w:val="22"/>
        </w:rPr>
        <w:t>6. API Gateway 捕获上游不可用并返回 503，不伪造成功结果。</w:t>
      </w:r>
    </w:p>
    <w:p>
      <w:pPr>
        <w:pStyle w:val="Heading2"/>
      </w:pPr>
      <w:r>
        <w:rPr>
          <w:rFonts w:ascii="Microsoft YaHei" w:hAnsi="Microsoft YaHei" w:eastAsia="Microsoft YaHei"/>
          <w:sz w:val="22"/>
        </w:rPr>
        <w:t>7. 运行与部署设计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73"/>
        <w:gridCol w:w="3173"/>
        <w:gridCol w:w="3173"/>
      </w:tblGrid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环境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组合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健康判定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本地单体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Frontend + Backend + MySQL Docker Compose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`/api/health` 返回应用和数据库 `ok`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微服务实验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Gateway + User + Product + Order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各服务 `/health`，网关真实转发和降级测试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Kubernetes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单体及微服务 manifests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Deployment rollout + Pod 内 HTTP 健康检查</w:t>
            </w:r>
          </w:p>
        </w:tc>
      </w:tr>
      <w:tr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CI/CD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GitHub Actions</w:t>
            </w:r>
          </w:p>
        </w:tc>
        <w:tc>
          <w:tcPr>
            <w:tcW w:type="dxa" w:w="3173"/>
          </w:tcPr>
          <w:p>
            <w:r>
              <w:rPr>
                <w:rFonts w:ascii="Microsoft YaHei" w:hAnsi="Microsoft YaHei" w:eastAsia="Microsoft YaHei"/>
                <w:sz w:val="18"/>
              </w:rPr>
              <w:t>四类测试均成功后才允许镜像和部署阶段</w:t>
            </w:r>
          </w:p>
        </w:tc>
      </w:tr>
    </w:tbl>
    <w:p>
      <w:pPr>
        <w:pStyle w:val="Heading2"/>
      </w:pPr>
      <w:r>
        <w:rPr>
          <w:rFonts w:ascii="Microsoft YaHei" w:hAnsi="Microsoft YaHei" w:eastAsia="Microsoft YaHei"/>
          <w:sz w:val="22"/>
        </w:rPr>
        <w:t>8. 设计约束</w:t>
      </w:r>
    </w:p>
    <w:p>
      <w:r>
        <w:rPr>
          <w:rFonts w:ascii="Microsoft YaHei" w:hAnsi="Microsoft YaHei" w:eastAsia="Microsoft YaHei"/>
          <w:b w:val="0"/>
          <w:sz w:val="22"/>
        </w:rPr>
        <w:t>- UC01-UC12 的完整业务验收以单体 API 为准，微服务目录用于课程拆分和部署对比，不虚构未迁移业务。</w:t>
      </w:r>
    </w:p>
    <w:p>
      <w:r>
        <w:rPr>
          <w:rFonts w:ascii="Microsoft YaHei" w:hAnsi="Microsoft YaHei" w:eastAsia="Microsoft YaHei"/>
          <w:b w:val="0"/>
          <w:sz w:val="22"/>
        </w:rPr>
        <w:t>- 商品图片保存在本地上传目录，生产化 OSS 不在当前范围。</w:t>
      </w:r>
    </w:p>
    <w:p>
      <w:r>
        <w:rPr>
          <w:rFonts w:ascii="Microsoft YaHei" w:hAnsi="Microsoft YaHei" w:eastAsia="Microsoft YaHei"/>
          <w:b w:val="0"/>
          <w:sz w:val="22"/>
        </w:rPr>
        <w:t>- 支付只改变站内订单状态，不对接资金系统；物流由卖家录入。</w:t>
      </w:r>
    </w:p>
    <w:p>
      <w:r>
        <w:rPr>
          <w:rFonts w:ascii="Microsoft YaHei" w:hAnsi="Microsoft YaHei" w:eastAsia="Microsoft YaHei"/>
          <w:b w:val="0"/>
          <w:sz w:val="22"/>
        </w:rPr>
        <w:t>- 店铺认证为资料完整后的演示认证，不代表人工审核。</w:t>
      </w:r>
    </w:p>
    <w:sectPr w:rsidR="00FC693F" w:rsidRPr="0006063C" w:rsidSect="00034616">
      <w:pgSz w:w="12240" w:h="15840"/>
      <w:pgMar w:top="1247" w:right="1361" w:bottom="1247" w:left="136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