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5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2B66D">
      <w:pPr>
        <w:pStyle w:val="4"/>
        <w:spacing w:before="120" w:line="234" w:lineRule="auto"/>
        <w:ind w:left="26"/>
        <w:outlineLvl w:val="0"/>
        <w:rPr>
          <w:sz w:val="45"/>
          <w:szCs w:val="45"/>
          <w:lang w:eastAsia="zh-CN"/>
        </w:rPr>
      </w:pPr>
      <w:r>
        <w:rPr>
          <w:b/>
          <w:bCs/>
          <w:color w:val="111827"/>
          <w:sz w:val="45"/>
          <w:szCs w:val="45"/>
          <w:lang w:eastAsia="zh-CN"/>
        </w:rPr>
        <w:t>softw</w:t>
      </w:r>
      <w:r>
        <w:rPr>
          <w:b/>
          <w:bCs/>
          <w:color w:val="111827"/>
          <w:spacing w:val="9"/>
          <w:sz w:val="45"/>
          <w:szCs w:val="45"/>
          <w:lang w:eastAsia="zh-CN"/>
        </w:rPr>
        <w:t xml:space="preserve"> 中期审查核对清单</w:t>
      </w:r>
    </w:p>
    <w:p w14:paraId="31DD754D">
      <w:pPr>
        <w:pStyle w:val="4"/>
        <w:spacing w:before="90" w:line="216" w:lineRule="auto"/>
        <w:ind w:left="2"/>
        <w:rPr>
          <w:lang w:eastAsia="zh-CN"/>
        </w:rPr>
      </w:pPr>
      <w:r>
        <w:rPr>
          <w:color w:val="4B5563"/>
          <w:spacing w:val="6"/>
          <w:lang w:eastAsia="zh-CN"/>
        </w:rPr>
        <w:t xml:space="preserve">仓库                  </w:t>
      </w:r>
      <w:r>
        <w:fldChar w:fldCharType="begin"/>
      </w:r>
      <w:r>
        <w:instrText xml:space="preserve"> HYPERLINK "https://github.com/tchen-0213/softw" </w:instrText>
      </w:r>
      <w:r>
        <w:fldChar w:fldCharType="separate"/>
      </w:r>
      <w:r>
        <w:rPr>
          <w:color w:val="4B5563"/>
          <w:lang w:eastAsia="zh-CN"/>
        </w:rPr>
        <w:t>https</w:t>
      </w:r>
      <w:r>
        <w:rPr>
          <w:color w:val="4B5563"/>
          <w:spacing w:val="6"/>
          <w:lang w:eastAsia="zh-CN"/>
        </w:rPr>
        <w:t>://</w:t>
      </w:r>
      <w:r>
        <w:rPr>
          <w:color w:val="4B5563"/>
          <w:lang w:eastAsia="zh-CN"/>
        </w:rPr>
        <w:t>github</w:t>
      </w:r>
      <w:r>
        <w:rPr>
          <w:color w:val="4B5563"/>
          <w:spacing w:val="6"/>
          <w:lang w:eastAsia="zh-CN"/>
        </w:rPr>
        <w:t>.</w:t>
      </w:r>
      <w:r>
        <w:rPr>
          <w:color w:val="4B5563"/>
          <w:lang w:eastAsia="zh-CN"/>
        </w:rPr>
        <w:t>com</w:t>
      </w:r>
      <w:r>
        <w:rPr>
          <w:color w:val="4B5563"/>
          <w:spacing w:val="6"/>
          <w:lang w:eastAsia="zh-CN"/>
        </w:rPr>
        <w:t>/</w:t>
      </w:r>
      <w:r>
        <w:rPr>
          <w:color w:val="4B5563"/>
          <w:lang w:eastAsia="zh-CN"/>
        </w:rPr>
        <w:t>tchen</w:t>
      </w:r>
      <w:r>
        <w:rPr>
          <w:color w:val="4B5563"/>
          <w:spacing w:val="6"/>
          <w:lang w:eastAsia="zh-CN"/>
        </w:rPr>
        <w:t>-0213/</w:t>
      </w:r>
      <w:r>
        <w:rPr>
          <w:color w:val="4B5563"/>
          <w:lang w:eastAsia="zh-CN"/>
        </w:rPr>
        <w:t>softw</w:t>
      </w:r>
      <w:r>
        <w:rPr>
          <w:color w:val="4B5563"/>
          <w:lang w:eastAsia="zh-CN"/>
        </w:rPr>
        <w:fldChar w:fldCharType="end"/>
      </w:r>
    </w:p>
    <w:p w14:paraId="17E9CEA3">
      <w:pPr>
        <w:pStyle w:val="4"/>
        <w:spacing w:before="65" w:line="232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>生成日期           2026-08-29</w:t>
      </w:r>
    </w:p>
    <w:p w14:paraId="7FA8F783">
      <w:pPr>
        <w:pStyle w:val="4"/>
        <w:spacing w:before="42" w:line="229" w:lineRule="auto"/>
        <w:ind w:left="2"/>
        <w:rPr>
          <w:lang w:eastAsia="zh-CN"/>
        </w:rPr>
      </w:pPr>
      <w:r>
        <w:rPr>
          <w:color w:val="4B5563"/>
          <w:spacing w:val="4"/>
          <w:lang w:eastAsia="zh-CN"/>
        </w:rPr>
        <w:t xml:space="preserve">依据                  </w:t>
      </w:r>
      <w:r>
        <w:rPr>
          <w:color w:val="4B5563"/>
          <w:lang w:eastAsia="zh-CN"/>
        </w:rPr>
        <w:t>G</w:t>
      </w:r>
      <w:r>
        <w:rPr>
          <w:color w:val="4B5563"/>
          <w:spacing w:val="-43"/>
          <w:lang w:eastAsia="zh-CN"/>
        </w:rPr>
        <w:t xml:space="preserve"> </w:t>
      </w:r>
      <w:r>
        <w:rPr>
          <w:color w:val="4B5563"/>
          <w:lang w:eastAsia="zh-CN"/>
        </w:rPr>
        <w:t>itHub</w:t>
      </w:r>
      <w:r>
        <w:rPr>
          <w:color w:val="4B5563"/>
          <w:spacing w:val="20"/>
          <w:lang w:eastAsia="zh-CN"/>
        </w:rPr>
        <w:t xml:space="preserve"> </w:t>
      </w:r>
      <w:r>
        <w:rPr>
          <w:color w:val="4B5563"/>
          <w:lang w:eastAsia="zh-CN"/>
        </w:rPr>
        <w:t>main</w:t>
      </w:r>
      <w:r>
        <w:rPr>
          <w:color w:val="4B5563"/>
          <w:spacing w:val="4"/>
          <w:lang w:eastAsia="zh-CN"/>
        </w:rPr>
        <w:t xml:space="preserve"> 分</w:t>
      </w:r>
      <w:r>
        <w:rPr>
          <w:color w:val="4B5563"/>
          <w:spacing w:val="3"/>
          <w:lang w:eastAsia="zh-CN"/>
        </w:rPr>
        <w:t xml:space="preserve">支： </w:t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  <w:t>06_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defense</w:t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  <w:t>/</w:t>
      </w:r>
      <w:r>
        <w:rPr>
          <w:color w:val="4B5563"/>
          <w:spacing w:val="3"/>
          <w:sz w:val="18"/>
          <w:szCs w:val="18"/>
          <w:lang w:eastAsia="zh-CN"/>
        </w:rPr>
        <w:t>小学期交付总览</w:t>
      </w:r>
      <w:r>
        <w:rPr>
          <w:color w:val="4B5563"/>
          <w:spacing w:val="-18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3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51"/>
          <w:sz w:val="18"/>
          <w:szCs w:val="18"/>
          <w:lang w:eastAsia="zh-CN"/>
        </w:rPr>
        <w:t xml:space="preserve"> </w:t>
      </w:r>
      <w:r>
        <w:rPr>
          <w:color w:val="4B5563"/>
          <w:spacing w:val="3"/>
          <w:lang w:eastAsia="zh-CN"/>
        </w:rPr>
        <w:t>“</w:t>
      </w:r>
      <w:r>
        <w:rPr>
          <w:color w:val="4B5563"/>
          <w:spacing w:val="-42"/>
          <w:lang w:eastAsia="zh-CN"/>
        </w:rPr>
        <w:t xml:space="preserve"> </w:t>
      </w:r>
      <w:r>
        <w:rPr>
          <w:color w:val="4B5563"/>
          <w:spacing w:val="3"/>
          <w:lang w:eastAsia="zh-CN"/>
        </w:rPr>
        <w:t>中期检查对照”、微服务方案、</w:t>
      </w:r>
      <w:r>
        <w:rPr>
          <w:color w:val="4B5563"/>
          <w:spacing w:val="-38"/>
          <w:lang w:eastAsia="zh-CN"/>
        </w:rPr>
        <w:t xml:space="preserve"> </w:t>
      </w:r>
      <w:r>
        <w:rPr>
          <w:color w:val="4B5563"/>
          <w:spacing w:val="3"/>
          <w:lang w:eastAsia="zh-CN"/>
        </w:rPr>
        <w:t>图表清</w:t>
      </w:r>
    </w:p>
    <w:p w14:paraId="102C548E">
      <w:pPr>
        <w:pStyle w:val="4"/>
        <w:spacing w:before="41" w:line="189" w:lineRule="auto"/>
        <w:ind w:left="1523"/>
        <w:rPr>
          <w:lang w:eastAsia="zh-CN"/>
        </w:rPr>
      </w:pPr>
      <w:r>
        <w:rPr>
          <w:color w:val="4B5563"/>
          <w:spacing w:val="6"/>
          <w:lang w:eastAsia="zh-CN"/>
        </w:rPr>
        <w:t>单、测试报告和验证记录。</w:t>
      </w:r>
    </w:p>
    <w:p w14:paraId="0FB477B9">
      <w:pPr>
        <w:pStyle w:val="4"/>
        <w:spacing w:before="147" w:line="915" w:lineRule="exact"/>
      </w:pPr>
      <w:bookmarkStart w:id="0" w:name="_GoBack"/>
      <w:bookmarkEnd w:id="0"/>
      <w:r>
        <w:rPr>
          <w:position w:val="-18"/>
        </w:rPr>
        <w:pict>
          <v:group id="_x0000_s1026" o:spid="_x0000_s1026" o:spt="203" style="height:45.75pt;width:510pt;" coordsize="10200,915">
            <o:lock v:ext="edit"/>
            <v:rect id="_x0000_s1027" o:spid="_x0000_s1027" o:spt="1" style="position:absolute;left:0;top:0;height:915;width:10200;" fillcolor="#EFF6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222;top:176;height:562;width:970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5D361E6">
                    <w:pPr>
                      <w:spacing w:before="19" w:line="212" w:lineRule="auto"/>
                      <w:ind w:left="24" w:right="20" w:hanging="4"/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左侧方框供现场勾选；“状态”按仓库材料整理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7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7"/>
                        <w:sz w:val="20"/>
                        <w:szCs w:val="20"/>
                        <w:lang w:eastAsia="zh-CN"/>
                      </w:rPr>
                      <w:t>，最终通过情况以教师或助教现场记录为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>准。本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22"/>
                        <w:w w:val="10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z w:val="20"/>
                        <w:szCs w:val="20"/>
                        <w:lang w:eastAsia="zh-CN"/>
                      </w:rPr>
                      <w:t>PDF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6"/>
                        <w:sz w:val="20"/>
                        <w:szCs w:val="20"/>
                        <w:lang w:eastAsia="zh-CN"/>
                      </w:rPr>
                      <w:t xml:space="preserve"> 仅作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为审查清单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-21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color w:val="1E3A8A"/>
                        <w:spacing w:val="4"/>
                        <w:sz w:val="20"/>
                        <w:szCs w:val="20"/>
                        <w:lang w:eastAsia="zh-CN"/>
                      </w:rPr>
                      <w:t>，不改写仓库内容。</w:t>
                    </w:r>
                  </w:p>
                </w:txbxContent>
              </v:textbox>
            </v:shape>
            <v:shape id="_x0000_s1029" o:spid="_x0000_s1029" o:spt="75" type="#_x0000_t75" style="position:absolute;left:0;top:0;height:915;width:60;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</v:shape>
            <w10:wrap type="none"/>
            <w10:anchorlock/>
          </v:group>
        </w:pict>
      </w:r>
    </w:p>
    <w:p w14:paraId="1961A729">
      <w:pPr>
        <w:spacing w:line="36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569727">
      <w:pPr>
        <w:pStyle w:val="4"/>
        <w:spacing w:before="120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5"/>
          <w:sz w:val="28"/>
          <w:szCs w:val="28"/>
        </w:rPr>
        <w:t>一、</w:t>
      </w:r>
      <w:r>
        <w:rPr>
          <w:b/>
          <w:bCs/>
          <w:color w:val="0F172A"/>
          <w:spacing w:val="-54"/>
          <w:sz w:val="28"/>
          <w:szCs w:val="28"/>
        </w:rPr>
        <w:t xml:space="preserve"> </w:t>
      </w:r>
      <w:r>
        <w:rPr>
          <w:b/>
          <w:bCs/>
          <w:color w:val="0F172A"/>
          <w:spacing w:val="5"/>
          <w:sz w:val="28"/>
          <w:szCs w:val="28"/>
        </w:rPr>
        <w:t>中期审查总项</w:t>
      </w:r>
    </w:p>
    <w:p w14:paraId="5EF1830A">
      <w:pPr>
        <w:spacing w:line="110" w:lineRule="exact"/>
      </w:pPr>
    </w:p>
    <w:tbl>
      <w:tblPr>
        <w:tblStyle w:val="5"/>
        <w:tblW w:w="10632" w:type="dxa"/>
        <w:tblInd w:w="-276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2410"/>
        <w:gridCol w:w="7087"/>
      </w:tblGrid>
      <w:tr w14:paraId="62C4354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  <w:shd w:val="clear" w:color="auto" w:fill="F3F4F6"/>
          </w:tcPr>
          <w:p w14:paraId="2A7FB9F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审查项</w:t>
            </w:r>
          </w:p>
        </w:tc>
        <w:tc>
          <w:tcPr>
            <w:tcW w:w="2410" w:type="dxa"/>
            <w:shd w:val="clear" w:color="auto" w:fill="F3F4F6"/>
          </w:tcPr>
          <w:p w14:paraId="010EE1AD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出示或执行的证据</w:t>
            </w:r>
          </w:p>
        </w:tc>
        <w:tc>
          <w:tcPr>
            <w:tcW w:w="7087" w:type="dxa"/>
            <w:shd w:val="clear" w:color="auto" w:fill="F3F4F6"/>
          </w:tcPr>
          <w:p w14:paraId="32F45741">
            <w:pPr>
              <w:spacing w:before="153" w:line="187" w:lineRule="auto"/>
              <w:jc w:val="center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状态</w:t>
            </w:r>
          </w:p>
        </w:tc>
      </w:tr>
      <w:tr w14:paraId="4E7A4B5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D8C1EA">
            <w:pPr>
              <w:spacing w:before="161" w:line="188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原系统可启动</w:t>
            </w:r>
          </w:p>
          <w:p w14:paraId="2D93CDD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证明单体系统仍可复现。</w:t>
            </w:r>
          </w:p>
        </w:tc>
        <w:tc>
          <w:tcPr>
            <w:tcW w:w="2410" w:type="dxa"/>
          </w:tcPr>
          <w:p w14:paraId="1A4D059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"README.md"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README.md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17DCC3E2">
            <w:pPr>
              <w:pStyle w:val="6"/>
              <w:spacing w:before="100" w:beforeAutospacing="1" w:after="100" w:afterAutospacing="1"/>
              <w:ind w:left="210" w:leftChars="100" w:right="210" w:rightChars="100" w:firstLine="41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"03_devops/scripts/verify-local.sh"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03_devops/scripts/verify-local.sh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verify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npm run compose:up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，访问前端和</w:t>
            </w:r>
          </w:p>
          <w:p w14:paraId="0B536DE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/api/health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0F022AB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已对项目原始版本进行启动验证，确认系统能够正常运行。启动后前端页面可正常访问，系统核心运行环境与基本功能保持可用。</w:t>
            </w:r>
          </w:p>
          <w:p w14:paraId="0E087A1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Project [D1-01]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启动原系统并核对运行环境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中完成现场验证并留存截图。截图包含原系统启动、运行环境及访问结果。</w:t>
            </w:r>
          </w:p>
          <w:p w14:paraId="6721B8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系统启动截图：</w:t>
            </w:r>
          </w:p>
          <w:p w14:paraId="612E70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29685" cy="1870075"/>
                  <wp:effectExtent l="0" t="0" r="0" b="0"/>
                  <wp:docPr id="2133232562" name="图片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32562" name="图片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719" cy="1910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DA319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首页截图：</w:t>
            </w:r>
          </w:p>
          <w:p w14:paraId="1AABDE4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203575" cy="2261870"/>
                  <wp:effectExtent l="0" t="0" r="0" b="5080"/>
                  <wp:docPr id="10638308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83080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259" cy="228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left"/>
            </w:pPr>
            <w:r>
              <w:rPr>
                <w:b/>
                <w:sz w:val="16"/>
              </w:rPr>
              <w:t>当前单体环境：MySQL、backend、frontend 三容器运行正常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623492"/>
                  <wp:docPr id="2145693334" name="Picture 2145693334" descr="Docker Compose 显示单体 MySQL、后端和前端容器运行，其中 MySQL 与后端健康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环境正常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6234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5743F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19BF6BB">
            <w:pPr>
              <w:spacing w:before="104" w:line="238" w:lineRule="auto"/>
              <w:ind w:left="127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Git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 xml:space="preserve"> 标签</w:t>
            </w:r>
          </w:p>
          <w:p w14:paraId="5755046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保留原系统基线。</w:t>
            </w:r>
          </w:p>
        </w:tc>
        <w:tc>
          <w:tcPr>
            <w:tcW w:w="2410" w:type="dxa"/>
          </w:tcPr>
          <w:p w14:paraId="7395C9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远程标签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monolith-start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；辅助脚本</w:t>
            </w:r>
          </w:p>
          <w:p w14:paraId="54666E8D">
            <w:pPr>
              <w:pStyle w:val="6"/>
              <w:spacing w:before="100" w:beforeAutospacing="1" w:after="100" w:afterAutospacing="1"/>
              <w:ind w:left="210" w:leftChars="100" w:right="210" w:rightChars="100" w:firstLine="37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"03_devops/scripts/tag-monolith.sh"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03_devops/scripts/tag-monolith.sh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。现场打开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G 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页面核对。</w:t>
            </w:r>
          </w:p>
        </w:tc>
        <w:tc>
          <w:tcPr>
            <w:tcW w:w="7087" w:type="dxa"/>
          </w:tcPr>
          <w:p w14:paraId="591165F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已在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GitHub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仓库中保留原系统基线版本，并通过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Git Tag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对对应版本进行标记，便于后续微服务拆分过程中进行版本追溯与对比。</w:t>
            </w:r>
          </w:p>
          <w:p w14:paraId="051E688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GitHub Tags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页面：</w:t>
            </w:r>
          </w:p>
          <w:p w14:paraId="78ABF1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83355" cy="1880235"/>
                  <wp:effectExtent l="0" t="0" r="0" b="5715"/>
                  <wp:docPr id="1675479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479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887" cy="1884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97365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0344718B">
            <w:pPr>
              <w:spacing w:before="165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文档和图</w:t>
            </w:r>
          </w:p>
          <w:p w14:paraId="73C49DE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三份说明书、三级模型和中期必备图。</w:t>
            </w:r>
          </w:p>
        </w:tc>
        <w:tc>
          <w:tcPr>
            <w:tcW w:w="2410" w:type="dxa"/>
          </w:tcPr>
          <w:p w14:paraId="58E9F6B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下需求、概要、详细设计说明书；</w:t>
            </w:r>
          </w:p>
          <w:p w14:paraId="22ABA95F">
            <w:pPr>
              <w:pStyle w:val="6"/>
              <w:spacing w:before="100" w:beforeAutospacing="1" w:after="100" w:afterAutospacing="1"/>
              <w:ind w:left="210" w:leftChars="100" w:right="210" w:rightChars="100" w:firstLine="3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02_docs/images/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中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31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张必需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SVG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ORDER-STATE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02_docs/models/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保留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Mermaid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源。</w:t>
            </w:r>
          </w:p>
        </w:tc>
        <w:tc>
          <w:tcPr>
            <w:tcW w:w="7087" w:type="dxa"/>
          </w:tcPr>
          <w:p w14:paraId="3E1183B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项目已建立完整的文档与模型目录，对需求分析、系统设计及后续实现提供对应文档支撑。同时补充系统架构图、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UML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模型及相关设计图，确保系统需求、设计与实现之间具有对应关系。</w:t>
            </w:r>
          </w:p>
          <w:p w14:paraId="5087AD5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02_docs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文件目录：</w:t>
            </w:r>
          </w:p>
          <w:p w14:paraId="4B04D08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04030" cy="2141855"/>
                  <wp:effectExtent l="0" t="0" r="1270" b="0"/>
                  <wp:docPr id="243874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87436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988" cy="21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7D24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01-REQ-USECASE.svg</w:t>
            </w:r>
          </w:p>
          <w:p w14:paraId="118436F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需求层：用例模型</w:t>
            </w:r>
          </w:p>
          <w:p w14:paraId="57945CA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2131695" cy="5048885"/>
                  <wp:effectExtent l="0" t="0" r="1905" b="0"/>
                  <wp:docPr id="2145693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6933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532" cy="5319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2C8E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12-ARCH-COMP.svg</w:t>
            </w:r>
          </w:p>
          <w:p w14:paraId="04B9C66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概要设计：系统架构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组件模型</w:t>
            </w:r>
          </w:p>
          <w:p w14:paraId="40EC0C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771265" cy="4331970"/>
                  <wp:effectExtent l="0" t="0" r="635" b="0"/>
                  <wp:docPr id="15769817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9817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265" cy="433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95196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22-DESIGN-CLASS.svg</w:t>
            </w:r>
          </w:p>
          <w:p w14:paraId="54BDACD2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详细设计：设计类模型</w:t>
            </w:r>
          </w:p>
          <w:p w14:paraId="2E8D6CE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328795" cy="1332230"/>
                  <wp:effectExtent l="0" t="0" r="0" b="1270"/>
                  <wp:docPr id="184145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45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859" cy="1336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F0603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2DF47D3A">
            <w:pPr>
              <w:spacing w:before="154" w:line="187" w:lineRule="auto"/>
              <w:ind w:left="124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  <w:lang w:eastAsia="zh-CN"/>
              </w:rPr>
              <w:t>三类测试</w:t>
            </w:r>
          </w:p>
          <w:p w14:paraId="1774F1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单元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规则、接口</w:t>
            </w:r>
            <w:r>
              <w:rPr>
                <w:color w:val="1F2937"/>
                <w:spacing w:val="10"/>
                <w:position w:val="3"/>
                <w:lang w:eastAsia="zh-CN"/>
              </w:rPr>
              <w:t>/API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7C7346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浏览器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E2E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，另有性能脚本。</w:t>
            </w:r>
          </w:p>
        </w:tc>
        <w:tc>
          <w:tcPr>
            <w:tcW w:w="2410" w:type="dxa"/>
          </w:tcPr>
          <w:p w14:paraId="6D6B52A8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backend/tests、frontend/tests、frontend/e2e、frontend/vite.config.js、02_docs/测试文档.md、04_tests/performance/k6-core-flow.js、04_tests/reports/tests/测试报告-小学期.md；报告记录 UC01-UC09 自动化覆盖。</w:t>
            </w:r>
          </w:p>
          <w:p w14:paraId="494EE1F4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本轮测试补强证据：前端 8 个 Vitest 测试文件、四项 80% 覆盖率门禁及覆盖率报告。</w:t>
            </w:r>
          </w:p>
          <w:p w14:paraId="723F2F45">
            <w:pPr>
              <w:pStyle w:val="6"/>
              <w:spacing w:before="100" w:beforeAutospacing="1" w:after="100" w:afterAutospacing="1"/>
              <w:ind w:left="210" w:leftChars="100" w:right="210" w:rightChars="100" w:firstLine="29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04_tests/reports/tests/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测试报告</w:t>
            </w:r>
            <w:r>
              <w:rPr>
                <w:color w:val="1F2937"/>
                <w:spacing w:val="10"/>
                <w:position w:val="3"/>
                <w:lang w:eastAsia="zh-CN"/>
              </w:rPr>
              <w:t>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小学期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；报告记录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UC01-UC09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自动化覆盖。</w:t>
            </w:r>
          </w:p>
          <w:p>
            <w:pPr>
              <w:pStyle w:val="6"/>
              <w:spacing w:before="100" w:beforeAutospacing="1" w:after="100" w:afterAutospacing="1"/>
              <w:ind w:left="210" w:leftChars="100" w:right="210" w:rightChars="100" w:firstLine="29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前端专项新增证据：frontend/tests/（8 个测试文件）、frontend/vite.config.js（四项 80% 覆盖率门禁）、04_tests/reports/coverage/frontend/（覆盖率报告）。</w:t>
            </w:r>
          </w:p>
        </w:tc>
        <w:tc>
          <w:tcPr>
            <w:tcW w:w="7087" w:type="dxa"/>
          </w:tcPr>
          <w:p w14:paraId="65D71FA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项目已针对系统主要功能建立自动化测试，并分别从接口和浏览器端进行验证。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API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自动化测试用于检查后端接口及业务逻辑，浏览器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E2E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测试用于验证用户实际操作流程，测试结果用于保证系统主要功能在修改后仍能够正常运行。</w:t>
            </w:r>
          </w:p>
          <w:p w14:paraId="5C5053C9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b/>
                <w:sz w:val="16"/>
              </w:rPr>
              <w:t>API 自动化（32/32）：</w:t>
            </w:r>
          </w:p>
          <w:p w14:paraId="03E9AE63">
            <w:pPr>
              <w:pStyle w:val="6"/>
              <w:spacing w:before="100" w:beforeAutospacing="1" w:after="100" w:afterAutospacing="1"/>
              <w:ind w:left="210" w:leftChars="100" w:right="210" w:rightChars="100"/>
              <w:jc w:val="center"/>
              <w:rPr>
                <w:color w:val="1F2937"/>
                <w:spacing w:val="10"/>
                <w:position w:val="3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54680" cy="3953563"/>
                  <wp:docPr id="2145693338" name="Picture 2145693338" descr="当前单体 API 自动化实测截图：共 32 项测试，32 项通过，0 失败，0 跳过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I测试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395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A0D66D9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b/>
                <w:sz w:val="16"/>
              </w:rPr>
              <w:t>浏览器 E2E（4/4）：</w:t>
            </w:r>
          </w:p>
          <w:p w14:paraId="7D055DE7">
            <w:pPr>
              <w:pStyle w:val="6"/>
              <w:spacing w:before="100" w:beforeAutospacing="1" w:after="100" w:afterAutospacing="1"/>
              <w:ind w:left="210" w:leftChars="100" w:right="210" w:rightChars="100"/>
              <w:jc w:val="center"/>
              <w:rPr>
                <w:color w:val="1F2937"/>
                <w:spacing w:val="10"/>
                <w:position w:val="3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206240" cy="1489556"/>
                  <wp:docPr id="2145693339" name="Picture 2145693339" descr="当前 Playwright 浏览器 E2E 实测截图：四条 UC01-UC09 业务流程全部通过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e测试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489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本轮实测结果：后端单元测试 19/19 通过；单体 API 自动化 32/32 通过；前端 Vitest 8 个文件、36/36 通过；浏览器 E2E 4/4 通过；覆盖率为语句 97.26%、分支 84.83%、函数 95.83%、行 97.26%；Vite 生产构建通过。</w:t>
            </w:r>
          </w:p>
          <w:p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API 与浏览器 E2E 均在当前单体环境完成实测，截图已更新为最新结果。</w:t>
            </w:r>
          </w:p>
          <w:p>
            <w:pPr>
              <w:spacing w:before="80" w:after="40"/>
              <w:jc w:val="left"/>
            </w:pPr>
            <w:r>
              <w:rPr>
                <w:b/>
                <w:sz w:val="16"/>
              </w:rPr>
              <w:t>后端单元测试、前端单元/组件测试与生产构建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606598"/>
                  <wp:docPr id="2145693335" name="Picture 2145693335" descr="npm run verify 输出：后端 19 项通过、前端 36 项通过并完成 Vite 生产构建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后端单元测试-前端单元组件测试-前端生产构建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6065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left"/>
            </w:pPr>
            <w:r>
              <w:rPr>
                <w:b/>
                <w:sz w:val="16"/>
              </w:rPr>
              <w:t>前端覆盖率测试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1965505"/>
                  <wp:docPr id="2145693336" name="Picture 2145693336" descr="Vitest 覆盖率输出：8 个测试文件、36 项测试通过，语句、分支、函数和行覆盖率均超过 80%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单元测试和生产构建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9655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AF80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118D3926">
            <w:pPr>
              <w:spacing w:before="169" w:line="188" w:lineRule="auto"/>
              <w:ind w:left="122"/>
              <w:jc w:val="both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容器化</w:t>
            </w:r>
          </w:p>
          <w:p w14:paraId="71D60E70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前端、后端、数据库可由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Docker/Compose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启</w:t>
            </w:r>
          </w:p>
          <w:p w14:paraId="3BF4E24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动。</w:t>
            </w:r>
          </w:p>
        </w:tc>
        <w:tc>
          <w:tcPr>
            <w:tcW w:w="2410" w:type="dxa"/>
          </w:tcPr>
          <w:p w14:paraId="3C98FC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backend/Dockerfile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frontend/Dockerfile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54227EF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03_devops/docker-compose.yml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；可运行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</w:t>
            </w:r>
          </w:p>
          <w:p w14:paraId="4A6DCF2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-f 03_devops/docker-compose.yml up -d -- build --wait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087" w:type="dxa"/>
          </w:tcPr>
          <w:p w14:paraId="16B3CE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项目已完成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容器化配置，并通过自动化流水线对容器镜像进行构建验证。流水线执行结果显示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Docker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镜像构建任务正常完成，并进一步完成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部署及服务健康检查，验证了容器化部署方案的可行性。</w:t>
            </w:r>
          </w:p>
          <w:p w14:paraId="71B1DE7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66845" cy="2263140"/>
                  <wp:effectExtent l="0" t="0" r="0" b="3810"/>
                  <wp:docPr id="2024694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94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075" cy="226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A2EE6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7D931784">
            <w:pPr>
              <w:spacing w:before="128" w:line="237" w:lineRule="auto"/>
              <w:ind w:left="121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 xml:space="preserve">原系统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CI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9"/>
                <w:sz w:val="20"/>
                <w:szCs w:val="20"/>
                <w:lang w:eastAsia="zh-CN"/>
              </w:rPr>
              <w:t>/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  <w:lang w:eastAsia="zh-CN"/>
              </w:rPr>
              <w:t>CD</w:t>
            </w:r>
          </w:p>
          <w:p w14:paraId="0EFA209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测试失败时阻断镜像构建和部署。</w:t>
            </w:r>
          </w:p>
        </w:tc>
        <w:tc>
          <w:tcPr>
            <w:tcW w:w="2410" w:type="dxa"/>
          </w:tcPr>
          <w:p w14:paraId="2CC1CBAD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.github/workflows/ci-cd.yml、GitHub Project「软工小学期」Issue #12 和 GitHub Actions 成功运行记录；原系统门禁包括 backend-test、frontend-build、browser-e2e。</w:t>
            </w:r>
          </w:p>
        </w:tc>
        <w:tc>
          <w:tcPr>
            <w:tcW w:w="7087" w:type="dxa"/>
          </w:tcPr>
          <w:p w14:paraId="69D74245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sz w:val="18"/>
              </w:rPr>
              <w:t>项目已建立 GitHub Actions 自动化流水线。Actions #50 的 backend-test、frontend-build 和 browser-e2e 均成功；其中 frontend-build 执行 npm run test:unit 和生产构建。覆盖率门禁仍需在相关修改推送后取得新的线上成功记录。</w:t>
            </w:r>
          </w:p>
          <w:p w14:paraId="036C14DA">
            <w:pPr>
              <w:pStyle w:val="6"/>
              <w:spacing w:before="100" w:beforeAutospacing="1" w:after="6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b/>
                <w:sz w:val="16"/>
              </w:rPr>
              <w:t>GitHub Actions 成功页面：</w:t>
            </w:r>
          </w:p>
          <w:p w14:paraId="21AF7EDF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940810" cy="2463165"/>
                  <wp:effectExtent l="0" t="0" r="2540" b="0"/>
                  <wp:docPr id="350266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26686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326" cy="2465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  <w:jc w:val="left"/>
            </w:pPr>
            <w:r>
              <w:rPr>
                <w:b/>
                <w:sz w:val="16"/>
              </w:rPr>
              <w:t>Actions #50：frontend-build 成功</w:t>
            </w:r>
          </w:p>
          <w:p>
            <w:pPr>
              <w:spacing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6200" cy="2187332"/>
                  <wp:docPr id="2145693337" name="Picture 2145693337" descr="GitHub Actions #50 的 frontend-build 成功，并执行 npm run test:unit 和生产构建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Hub-Actions-50-frontend-buil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187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B126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5" w:type="dxa"/>
          </w:tcPr>
          <w:p w14:paraId="62FBD596">
            <w:pPr>
              <w:spacing w:before="173" w:line="188" w:lineRule="auto"/>
              <w:ind w:left="119"/>
              <w:jc w:val="both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7"/>
                <w:sz w:val="20"/>
                <w:szCs w:val="20"/>
                <w:lang w:eastAsia="zh-CN"/>
              </w:rPr>
              <w:t>微服务拆分方案</w:t>
            </w:r>
          </w:p>
          <w:p w14:paraId="723DB4C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说明服务边界、接口和数据归属。</w:t>
            </w:r>
          </w:p>
        </w:tc>
        <w:tc>
          <w:tcPr>
            <w:tcW w:w="2410" w:type="dxa"/>
          </w:tcPr>
          <w:p w14:paraId="444E307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微服务拆分设计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services/service-</w:t>
            </w:r>
          </w:p>
          <w:p w14:paraId="06A5C875">
            <w:pPr>
              <w:pStyle w:val="6"/>
              <w:spacing w:before="100" w:beforeAutospacing="1" w:after="100" w:afterAutospacing="1"/>
              <w:ind w:left="210" w:leftChars="100" w:right="210" w:rightChars="100" w:firstLine="12"/>
              <w:rPr>
                <w:color w:val="1F2937"/>
                <w:spacing w:val="10"/>
                <w:position w:val="3"/>
                <w:lang w:eastAsia="zh-CN"/>
              </w:rPr>
            </w:pPr>
            <w:r>
              <w:fldChar w:fldCharType="begin"/>
            </w:r>
            <w:r>
              <w:instrText xml:space="preserve"> HYPERLINK "boundaries.md"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boundaries.md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02_docs/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微服务接口与数据归属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；建议演示顺序：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图、接口清单、数据表归属、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成功证明。</w:t>
            </w:r>
          </w:p>
        </w:tc>
        <w:tc>
          <w:tcPr>
            <w:tcW w:w="7087" w:type="dxa"/>
          </w:tcPr>
          <w:p w14:paraId="6086726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在保留原系统核心业务功能的基础上，项目已完成微服务拆分方案设计。按照业务领域对系统功能进行划分，并通过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Gateway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统一对外提供访问入口，各业务服务之间按照既定接口进行协作，为后续独立部署、扩展及维护提供基础。</w:t>
            </w:r>
          </w:p>
          <w:p w14:paraId="41287FAB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MS-SPLIT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微服务架构图：</w:t>
            </w:r>
          </w:p>
          <w:p w14:paraId="27E7C84C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526155" cy="2901950"/>
                  <wp:effectExtent l="0" t="0" r="0" b="0"/>
                  <wp:docPr id="110858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82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9015" cy="2962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E779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微服务运行：</w:t>
            </w:r>
          </w:p>
          <w:p w14:paraId="2107DCB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3864610" cy="1990725"/>
                  <wp:effectExtent l="0" t="0" r="2540" b="0"/>
                  <wp:docPr id="10351143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11439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042" cy="20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DBC8E"/>
    <w:p w14:paraId="116763D6">
      <w:pPr>
        <w:sectPr>
          <w:pgSz w:w="11900" w:h="16839"/>
          <w:pgMar w:top="720" w:right="720" w:bottom="720" w:left="720" w:header="0" w:footer="0" w:gutter="0"/>
          <w:cols w:space="720" w:num="1"/>
          <w:docGrid w:linePitch="286" w:charSpace="0"/>
        </w:sectPr>
      </w:pPr>
    </w:p>
    <w:p w14:paraId="466DD0D3">
      <w:pPr>
        <w:pStyle w:val="4"/>
        <w:spacing w:before="218" w:line="188" w:lineRule="auto"/>
        <w:ind w:left="8"/>
        <w:outlineLvl w:val="1"/>
        <w:rPr>
          <w:sz w:val="28"/>
          <w:szCs w:val="28"/>
        </w:rPr>
      </w:pPr>
      <w:r>
        <w:rPr>
          <w:b/>
          <w:bCs/>
          <w:color w:val="0F172A"/>
          <w:spacing w:val="8"/>
          <w:sz w:val="28"/>
          <w:szCs w:val="28"/>
        </w:rPr>
        <w:t>二、微服务专项核对</w:t>
      </w:r>
    </w:p>
    <w:p w14:paraId="7DF0FE73">
      <w:pPr>
        <w:spacing w:line="110" w:lineRule="exact"/>
      </w:pPr>
    </w:p>
    <w:tbl>
      <w:tblPr>
        <w:tblStyle w:val="5"/>
        <w:tblW w:w="10348" w:type="dxa"/>
        <w:tblInd w:w="8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2161"/>
        <w:gridCol w:w="7336"/>
      </w:tblGrid>
      <w:tr w14:paraId="55DA543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1" w:hRule="atLeast"/>
        </w:trPr>
        <w:tc>
          <w:tcPr>
            <w:tcW w:w="851" w:type="dxa"/>
            <w:shd w:val="clear" w:color="auto" w:fill="F3F4F6"/>
            <w:textDirection w:val="tbRlV"/>
          </w:tcPr>
          <w:p w14:paraId="3E7FD074">
            <w:pPr>
              <w:spacing w:before="192" w:line="184" w:lineRule="auto"/>
              <w:ind w:left="15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-2"/>
                <w:sz w:val="20"/>
                <w:szCs w:val="20"/>
              </w:rPr>
              <w:t>专  项</w:t>
            </w:r>
          </w:p>
        </w:tc>
        <w:tc>
          <w:tcPr>
            <w:tcW w:w="2161" w:type="dxa"/>
            <w:shd w:val="clear" w:color="auto" w:fill="F3F4F6"/>
          </w:tcPr>
          <w:p w14:paraId="486CDAE4">
            <w:pPr>
              <w:spacing w:before="154" w:line="188" w:lineRule="auto"/>
              <w:ind w:left="1895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7"/>
                <w:sz w:val="20"/>
                <w:szCs w:val="20"/>
              </w:rPr>
              <w:t>核查要点</w:t>
            </w:r>
          </w:p>
        </w:tc>
        <w:tc>
          <w:tcPr>
            <w:tcW w:w="7336" w:type="dxa"/>
            <w:shd w:val="clear" w:color="auto" w:fill="F3F4F6"/>
          </w:tcPr>
          <w:p w14:paraId="1316341F">
            <w:pPr>
              <w:spacing w:before="153" w:line="188" w:lineRule="auto"/>
              <w:ind w:left="1642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11827"/>
                <w:spacing w:val="6"/>
                <w:sz w:val="20"/>
                <w:szCs w:val="20"/>
              </w:rPr>
              <w:t>证据位置</w:t>
            </w:r>
          </w:p>
        </w:tc>
      </w:tr>
      <w:tr w14:paraId="060C770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851" w:type="dxa"/>
            <w:textDirection w:val="tbRlV"/>
          </w:tcPr>
          <w:p w14:paraId="33203E0C">
            <w:pPr>
              <w:spacing w:before="257" w:line="186" w:lineRule="auto"/>
              <w:ind w:left="180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3"/>
                <w:sz w:val="20"/>
                <w:szCs w:val="20"/>
              </w:rPr>
              <w:t>三  个  业  务  微  服  务</w:t>
            </w:r>
          </w:p>
        </w:tc>
        <w:tc>
          <w:tcPr>
            <w:tcW w:w="2161" w:type="dxa"/>
          </w:tcPr>
          <w:p w14:paraId="76F922C1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user-service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：用户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地址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角色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信用；</w:t>
            </w:r>
          </w:p>
          <w:p w14:paraId="4EB7427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：商品、二手、店铺、评价、聊天、上传、库存；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：下单、支付、取消、发货、收货和状态机。</w:t>
            </w:r>
            <w:r>
              <w:rPr>
                <w:color w:val="1F2937"/>
                <w:spacing w:val="10"/>
                <w:position w:val="3"/>
                <w:lang w:eastAsia="zh-CN"/>
              </w:rPr>
              <w:t>API Gateway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不计入业务服务数量。</w:t>
            </w:r>
          </w:p>
        </w:tc>
        <w:tc>
          <w:tcPr>
            <w:tcW w:w="7336" w:type="dxa"/>
          </w:tcPr>
          <w:p w14:paraId="677EC9B1">
            <w:pPr>
              <w:pStyle w:val="6"/>
              <w:spacing w:before="152" w:line="267" w:lineRule="auto"/>
              <w:ind w:left="174" w:right="226"/>
              <w:rPr>
                <w:rFonts w:eastAsiaTheme="minorEastAsia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</w:rPr>
              <w:t>系统已按照业务领域完成服务拆分，形成</w:t>
            </w:r>
            <w:r>
              <w:rPr>
                <w:color w:val="1F2937"/>
              </w:rPr>
              <w:t xml:space="preserve"> user-service</w:t>
            </w:r>
            <w:r>
              <w:rPr>
                <w:rFonts w:hint="eastAsia" w:ascii="SimSun" w:hAnsi="SimSun" w:eastAsia="SimSun" w:cs="SimSun"/>
                <w:color w:val="1F2937"/>
              </w:rPr>
              <w:t>、</w:t>
            </w:r>
            <w:r>
              <w:rPr>
                <w:color w:val="1F2937"/>
              </w:rPr>
              <w:t xml:space="preserve">product-service </w:t>
            </w:r>
            <w:r>
              <w:rPr>
                <w:rFonts w:hint="eastAsia" w:ascii="SimSun" w:hAnsi="SimSun" w:eastAsia="SimSun" w:cs="SimSun"/>
                <w:color w:val="1F2937"/>
              </w:rPr>
              <w:t>和</w:t>
            </w:r>
            <w:r>
              <w:rPr>
                <w:color w:val="1F2937"/>
              </w:rPr>
              <w:t xml:space="preserve"> order-service </w:t>
            </w:r>
            <w:r>
              <w:rPr>
                <w:rFonts w:hint="eastAsia" w:ascii="SimSun" w:hAnsi="SimSun" w:eastAsia="SimSun" w:cs="SimSun"/>
                <w:color w:val="1F2937"/>
              </w:rPr>
              <w:t>三个独立业务微服务，分别负责用户、商品及订单相关业务；</w:t>
            </w:r>
            <w:r>
              <w:rPr>
                <w:color w:val="1F2937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</w:rPr>
              <w:t>作为统一访问入口，不计入业务服务数量。</w:t>
            </w: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2610485" cy="5085715"/>
                  <wp:effectExtent l="0" t="0" r="0" b="635"/>
                  <wp:docPr id="13383384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3840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485" cy="508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CD05F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2" w:hRule="atLeast"/>
        </w:trPr>
        <w:tc>
          <w:tcPr>
            <w:tcW w:w="851" w:type="dxa"/>
            <w:textDirection w:val="tbRlV"/>
          </w:tcPr>
          <w:p w14:paraId="59D46602">
            <w:pPr>
              <w:spacing w:before="257" w:line="184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网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关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端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>点</w:t>
            </w:r>
          </w:p>
        </w:tc>
        <w:tc>
          <w:tcPr>
            <w:tcW w:w="2161" w:type="dxa"/>
          </w:tcPr>
          <w:p w14:paraId="445A35C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网关按路径转发；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四个后端组件均提供</w:t>
            </w:r>
          </w:p>
          <w:p w14:paraId="53CD6E4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/health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/ready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/version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；转发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JWT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</w:p>
          <w:p w14:paraId="0B0C7DFA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>Content-Type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Idempotency-Key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；依赖超时返回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503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60784DB2">
            <w:pPr>
              <w:pStyle w:val="6"/>
              <w:spacing w:before="155" w:line="238" w:lineRule="auto"/>
              <w:ind w:left="120" w:right="181" w:firstLine="53"/>
              <w:rPr>
                <w:rFonts w:ascii="SimSun" w:hAnsi="SimSun" w:eastAsia="SimSun" w:cs="SimSun"/>
                <w:color w:val="1F2937"/>
                <w:lang w:eastAsia="zh-CN"/>
              </w:rPr>
            </w:pPr>
            <w:r>
              <w:rPr>
                <w:color w:val="1F2937"/>
                <w:lang w:eastAsia="zh-CN"/>
              </w:rPr>
              <w:t xml:space="preserve">API Gateway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作为微服务统一访问入口，根据请求路径将请求转发至对应业务服务，并提供统一的健康检查、就绪检查及版本接口。相关</w:t>
            </w:r>
            <w:r>
              <w:rPr>
                <w:color w:val="1F2937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lang w:eastAsia="zh-CN"/>
              </w:rPr>
              <w:t>接口已通过自动化测试进行验证。</w:t>
            </w:r>
          </w:p>
          <w:p w14:paraId="79498DAC">
            <w:pPr>
              <w:pStyle w:val="6"/>
              <w:spacing w:before="155" w:line="238" w:lineRule="auto"/>
              <w:ind w:left="120" w:right="181" w:firstLine="53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30320" cy="1503045"/>
                  <wp:effectExtent l="0" t="0" r="0" b="1905"/>
                  <wp:docPr id="12973494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3494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450" cy="1522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AB07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8" w:hRule="atLeast"/>
        </w:trPr>
        <w:tc>
          <w:tcPr>
            <w:tcW w:w="851" w:type="dxa"/>
            <w:textDirection w:val="tbRlV"/>
          </w:tcPr>
          <w:p w14:paraId="2FFBDCC0">
            <w:pPr>
              <w:spacing w:before="257" w:line="185" w:lineRule="auto"/>
              <w:ind w:left="153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数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据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归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z w:val="20"/>
                <w:szCs w:val="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属</w:t>
            </w:r>
          </w:p>
        </w:tc>
        <w:tc>
          <w:tcPr>
            <w:tcW w:w="2161" w:type="dxa"/>
          </w:tcPr>
          <w:p w14:paraId="7A6547F7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SimSun" w:hAnsi="SimSun" w:eastAsia="SimSun" w:cs="SimSun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三个独立数据库：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softw_users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softw_orders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</w:p>
          <w:p w14:paraId="65A9985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订单保存商品、地址和物流快照；服务之间通过内部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1F2937"/>
                <w:spacing w:val="10"/>
                <w:position w:val="3"/>
                <w:lang w:eastAsia="zh-CN"/>
              </w:rPr>
              <w:t>HTTP</w:t>
            </w:r>
            <w:r>
              <w:rPr>
                <w:color w:val="1F2937"/>
                <w:spacing w:val="10"/>
                <w:position w:val="3"/>
                <w:lang w:eastAsia="zh-CN"/>
              </w:rPr>
              <w:fldChar w:fldCharType="end"/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交互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，不跨库联表。</w:t>
            </w:r>
          </w:p>
        </w:tc>
        <w:tc>
          <w:tcPr>
            <w:tcW w:w="7336" w:type="dxa"/>
          </w:tcPr>
          <w:p w14:paraId="5D369A7C">
            <w:pPr>
              <w:pStyle w:val="6"/>
              <w:spacing w:before="114" w:line="229" w:lineRule="auto"/>
              <w:ind w:left="165"/>
              <w:rPr>
                <w:rFonts w:eastAsiaTheme="minorEastAsia"/>
                <w:color w:val="1F2937"/>
                <w:spacing w:val="2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微服务采用独立数据库进行数据隔离，用户、商品和订单数据分别归属于</w:t>
            </w:r>
            <w:r>
              <w:rPr>
                <w:color w:val="1F2937"/>
                <w:spacing w:val="2"/>
                <w:lang w:eastAsia="zh-CN"/>
              </w:rPr>
              <w:t xml:space="preserve"> softw_users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、</w:t>
            </w:r>
            <w:r>
              <w:rPr>
                <w:color w:val="1F2937"/>
                <w:spacing w:val="2"/>
                <w:lang w:eastAsia="zh-CN"/>
              </w:rPr>
              <w:t xml:space="preserve">softw_catalog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和</w:t>
            </w:r>
            <w:r>
              <w:rPr>
                <w:color w:val="1F2937"/>
                <w:spacing w:val="2"/>
                <w:lang w:eastAsia="zh-CN"/>
              </w:rPr>
              <w:t xml:space="preserve"> softw_orders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。服务之间通过内部</w:t>
            </w:r>
            <w:r>
              <w:rPr>
                <w:color w:val="1F2937"/>
                <w:spacing w:val="2"/>
                <w:lang w:eastAsia="zh-CN"/>
              </w:rPr>
              <w:t xml:space="preserve"> HTTP API </w:t>
            </w:r>
            <w:r>
              <w:rPr>
                <w:rFonts w:hint="eastAsia" w:ascii="SimSun" w:hAnsi="SimSun" w:eastAsia="SimSun" w:cs="SimSun"/>
                <w:color w:val="1F2937"/>
                <w:spacing w:val="2"/>
                <w:lang w:eastAsia="zh-CN"/>
              </w:rPr>
              <w:t>进行业务协作，不采用跨库联表方式。</w:t>
            </w:r>
          </w:p>
          <w:p w14:paraId="36458A62">
            <w:pPr>
              <w:pStyle w:val="6"/>
              <w:spacing w:before="114" w:line="229" w:lineRule="auto"/>
              <w:ind w:left="165"/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cs="Microsoft YaHei" w:eastAsiaTheme="minorEastAsia"/>
                <w:sz w:val="20"/>
                <w:szCs w:val="20"/>
                <w:lang w:eastAsia="zh-CN"/>
              </w:rPr>
              <w:drawing>
                <wp:inline distT="0" distB="0" distL="0" distR="0">
                  <wp:extent cx="3843655" cy="2457450"/>
                  <wp:effectExtent l="0" t="0" r="4445" b="0"/>
                  <wp:docPr id="452069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06999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82" cy="246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9CE0A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6" w:hRule="atLeast"/>
        </w:trPr>
        <w:tc>
          <w:tcPr>
            <w:tcW w:w="851" w:type="dxa"/>
            <w:textDirection w:val="tbRlV"/>
          </w:tcPr>
          <w:p w14:paraId="30D44C46">
            <w:pPr>
              <w:spacing w:before="257" w:line="186" w:lineRule="auto"/>
              <w:ind w:left="257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69"/>
                <w:sz w:val="20"/>
                <w:szCs w:val="20"/>
              </w:rPr>
              <w:t>一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8"/>
                <w:sz w:val="20"/>
                <w:szCs w:val="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致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性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与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失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2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败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0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1"/>
                <w:sz w:val="20"/>
                <w:szCs w:val="20"/>
              </w:rPr>
              <w:t>处  理</w:t>
            </w:r>
          </w:p>
        </w:tc>
        <w:tc>
          <w:tcPr>
            <w:tcW w:w="2161" w:type="dxa"/>
          </w:tcPr>
          <w:p w14:paraId="5B7EDA64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订单通过商品服务库存预留、释放、完成接口维护库存；库存不足不创建订单；释放接口按</w:t>
            </w:r>
          </w:p>
          <w:p w14:paraId="2C8D1AAD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reservation Id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幂等；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内部接口要求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X- Internal-Token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0D3DFE38">
            <w:pPr>
              <w:pStyle w:val="6"/>
              <w:spacing w:before="131" w:line="229" w:lineRule="auto"/>
              <w:ind w:left="165"/>
              <w:rPr>
                <w:rFonts w:ascii="SimSun" w:hAnsi="SimSun" w:eastAsia="SimSun" w:cs="SimSun"/>
                <w:color w:val="1F2937"/>
                <w:spacing w:val="1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"/>
                <w:lang w:eastAsia="zh-CN"/>
              </w:rPr>
              <w:t>订单流程通过商品服务提供的库存预留、释放及完成接口维护库存状态，并针对库存不足、订单取消及重复请求等异常场景进行验证，确保跨服务业务流程具有一致性和必要的幂等处理能力。</w:t>
            </w:r>
          </w:p>
          <w:p w14:paraId="3C452B5A">
            <w:pPr>
              <w:pStyle w:val="6"/>
              <w:spacing w:before="131" w:line="229" w:lineRule="auto"/>
              <w:ind w:left="165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  <w:drawing>
                <wp:inline distT="0" distB="0" distL="0" distR="0">
                  <wp:extent cx="3879215" cy="2160270"/>
                  <wp:effectExtent l="0" t="0" r="6985" b="0"/>
                  <wp:docPr id="224235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3512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42" cy="2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677F3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5" w:hRule="atLeast"/>
        </w:trPr>
        <w:tc>
          <w:tcPr>
            <w:tcW w:w="851" w:type="dxa"/>
            <w:textDirection w:val="tbRlV"/>
          </w:tcPr>
          <w:p w14:paraId="45D112F2">
            <w:pPr>
              <w:spacing w:before="257" w:line="185" w:lineRule="auto"/>
              <w:ind w:left="174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部  署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56"/>
                <w:w w:val="101"/>
                <w:sz w:val="20"/>
                <w:szCs w:val="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-1"/>
                <w:sz w:val="20"/>
                <w:szCs w:val="20"/>
              </w:rPr>
              <w:t>与  回  归</w:t>
            </w:r>
          </w:p>
        </w:tc>
        <w:tc>
          <w:tcPr>
            <w:tcW w:w="2161" w:type="dxa"/>
          </w:tcPr>
          <w:p w14:paraId="00D0A6B5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Compose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可启动完整微服务拓扑；</w:t>
            </w:r>
          </w:p>
          <w:p w14:paraId="5F982A98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t xml:space="preserve">Ku 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清单包含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MySQL PVC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、三个业务服务、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网关、前端和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HPA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；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网关公开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API/E2E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覆盖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UC01-UC09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。</w:t>
            </w:r>
          </w:p>
        </w:tc>
        <w:tc>
          <w:tcPr>
            <w:tcW w:w="7336" w:type="dxa"/>
          </w:tcPr>
          <w:p w14:paraId="4BBC149D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微服务版本已完成容器化部署，并通过自动化流水线验证镜像构建、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Kubernetes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部署及服务健康状态。部署后进一步执行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API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与浏览器端回归测试，验证主要业务流程在微服务架构下能够正常运行。</w:t>
            </w:r>
          </w:p>
          <w:p w14:paraId="53B7EF63">
            <w:pPr>
              <w:pStyle w:val="6"/>
              <w:spacing w:before="31" w:line="294" w:lineRule="auto"/>
              <w:ind w:left="128" w:right="919" w:firstLine="37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drawing>
                <wp:inline distT="0" distB="0" distL="0" distR="0">
                  <wp:extent cx="3860800" cy="1988820"/>
                  <wp:effectExtent l="0" t="0" r="6350" b="0"/>
                  <wp:docPr id="749772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772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978" cy="203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87F0B7">
      <w:pPr>
        <w:spacing w:line="368" w:lineRule="auto"/>
        <w:rPr>
          <w:lang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647700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EDDCB">
      <w:pPr>
        <w:pStyle w:val="4"/>
        <w:spacing w:before="120" w:line="187" w:lineRule="auto"/>
        <w:ind w:left="8"/>
        <w:outlineLvl w:val="1"/>
        <w:rPr>
          <w:b/>
          <w:bCs/>
          <w:color w:val="0F172A"/>
          <w:spacing w:val="9"/>
          <w:sz w:val="28"/>
          <w:szCs w:val="28"/>
        </w:rPr>
      </w:pPr>
    </w:p>
    <w:p w14:paraId="652A7BDD">
      <w:pPr>
        <w:pStyle w:val="4"/>
        <w:spacing w:before="120" w:line="187" w:lineRule="auto"/>
        <w:outlineLvl w:val="1"/>
        <w:rPr>
          <w:sz w:val="28"/>
          <w:szCs w:val="28"/>
        </w:rPr>
      </w:pPr>
      <w:r>
        <w:rPr>
          <w:b/>
          <w:bCs/>
          <w:color w:val="0F172A"/>
          <w:spacing w:val="9"/>
          <w:sz w:val="28"/>
          <w:szCs w:val="28"/>
        </w:rPr>
        <w:t>三、现场命令与记录</w:t>
      </w:r>
    </w:p>
    <w:p w14:paraId="29DEAFE4">
      <w:pPr>
        <w:spacing w:line="187" w:lineRule="auto"/>
        <w:rPr>
          <w:sz w:val="28"/>
          <w:szCs w:val="28"/>
        </w:rPr>
        <w:sectPr>
          <w:headerReference r:id="rId5" w:type="default"/>
          <w:pgSz w:w="11900" w:h="16839"/>
          <w:pgMar w:top="810" w:right="844" w:bottom="0" w:left="855" w:header="795" w:footer="0" w:gutter="0"/>
          <w:cols w:space="720" w:num="1"/>
        </w:sectPr>
      </w:pPr>
    </w:p>
    <w:p w14:paraId="5F0E992A">
      <w:pPr>
        <w:spacing w:before="153"/>
      </w:pPr>
      <w:r>
        <w:pict>
          <v:shape id="_x0000_s1030" o:spid="_x0000_s1030" o:spt="202" type="#_x0000_t202" style="position:absolute;left:0pt;margin-left:41.75pt;margin-top:38.75pt;height:240.5pt;width:253.25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29E05FB">
                  <w:pPr>
                    <w:spacing w:line="20" w:lineRule="exact"/>
                  </w:pPr>
                </w:p>
                <w:tbl>
                  <w:tblPr>
                    <w:tblStyle w:val="5"/>
                    <w:tblW w:w="5010" w:type="dxa"/>
                    <w:tblInd w:w="27" w:type="dxa"/>
                    <w:tblBorders>
                      <w:top w:val="single" w:color="D1D5DB" w:sz="6" w:space="0"/>
                      <w:left w:val="single" w:color="D1D5DB" w:sz="6" w:space="0"/>
                      <w:bottom w:val="single" w:color="D1D5DB" w:sz="6" w:space="0"/>
                      <w:right w:val="single" w:color="D1D5DB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10"/>
                  </w:tblGrid>
                  <w:tr w14:paraId="1AB9D321">
                    <w:tblPrEx>
                      <w:tblBorders>
                        <w:top w:val="single" w:color="D1D5DB" w:sz="6" w:space="0"/>
                        <w:left w:val="single" w:color="D1D5DB" w:sz="6" w:space="0"/>
                        <w:bottom w:val="single" w:color="D1D5DB" w:sz="6" w:space="0"/>
                        <w:right w:val="single" w:color="D1D5DB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740" w:hRule="atLeast"/>
                    </w:trPr>
                    <w:tc>
                      <w:tcPr>
                        <w:tcW w:w="5010" w:type="dxa"/>
                      </w:tcPr>
                      <w:p w14:paraId="63586265">
                        <w:pPr>
                          <w:spacing w:before="198" w:line="188" w:lineRule="auto"/>
                          <w:ind w:left="162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b/>
                            <w:bCs/>
                            <w:color w:val="1F2937"/>
                            <w:spacing w:val="7"/>
                            <w:sz w:val="20"/>
                            <w:szCs w:val="20"/>
                          </w:rPr>
                          <w:t>本地快速核查</w:t>
                        </w:r>
                      </w:p>
                      <w:p w14:paraId="50C3B25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8" name="IM 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verify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：后端、前端单元和微服务基础测试。</w:t>
                        </w:r>
                      </w:p>
                      <w:p w14:paraId="7E9D2118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0" name="IM 10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npm run compose:up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：启动单体前端、后端和</w:t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MySQL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。</w:t>
                        </w:r>
                      </w:p>
                      <w:p w14:paraId="6D0B9B17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2" name="IM 1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2" name="IM 12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docker compose --env-file .env -f</w:t>
                        </w:r>
                      </w:p>
                      <w:p w14:paraId="7149A77B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03_devops/docker-compose.microservices.yml up --build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：启动微服务版本。</w:t>
                        </w:r>
                      </w:p>
                      <w:p w14:paraId="31AB09B4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4" name="IM 1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" name="IM 14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  curl --fail</w:t>
                        </w:r>
                      </w:p>
                      <w:p w14:paraId="09A00726">
                        <w:pPr>
                          <w:pStyle w:val="6"/>
                          <w:spacing w:before="100" w:beforeAutospacing="1" w:after="100" w:afterAutospacing="1"/>
                          <w:ind w:left="210" w:leftChars="100" w:right="210" w:rightChars="100"/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HYPERLINK "http://127.0.0.1:3001/api/health："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 xml:space="preserve">http://127.0.0.1:3001/api/health 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：</w:t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ascii="SimSun" w:hAnsi="SimSun" w:eastAsia="SimSun" w:cs="SimSun"/>
                            <w:color w:val="1F2937"/>
                            <w:spacing w:val="10"/>
                            <w:position w:val="3"/>
                            <w:lang w:eastAsia="zh-CN"/>
                          </w:rPr>
                          <w:t>单体健康检查。</w:t>
                        </w:r>
                      </w:p>
                      <w:p w14:paraId="5B3EFE97">
                        <w:pPr>
                          <w:pStyle w:val="6"/>
                          <w:spacing w:before="32" w:line="234" w:lineRule="auto"/>
                          <w:ind w:left="477" w:right="346" w:hanging="267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color w:val="1F2937"/>
                            <w:position w:val="5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16" name="IM 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IM 16"/>
                                      <pic:cNvPicPr/>
                                    </pic:nvPicPr>
                                    <pic:blipFill>
                                      <a:blip r:embed="rId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color w:val="1F2937"/>
                            <w:spacing w:val="18"/>
                          </w:rPr>
                          <w:t xml:space="preserve">  </w:t>
                        </w:r>
                        <w:r>
                          <w:rPr>
                            <w:color w:val="1F2937"/>
                          </w:rPr>
                          <w:t>curl</w:t>
                        </w:r>
                        <w:r>
                          <w:rPr>
                            <w:color w:val="1F2937"/>
                            <w:spacing w:val="27"/>
                          </w:rPr>
                          <w:t xml:space="preserve"> </w:t>
                        </w:r>
                        <w:r>
                          <w:rPr>
                            <w:color w:val="1F2937"/>
                          </w:rPr>
                          <w:t xml:space="preserve">--fail </w:t>
                        </w:r>
                        <w:r>
                          <w:fldChar w:fldCharType="begin"/>
                        </w:r>
                        <w:r>
                          <w:instrText xml:space="preserve"> HYPERLINK "http://127.0.0.1:8081/ready："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F2937"/>
                          </w:rPr>
                          <w:t>http://127.0.0.1:8081/ready</w:t>
                        </w:r>
                        <w:r>
                          <w:rPr>
                            <w:color w:val="1F2937"/>
                            <w:spacing w:val="-58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z w:val="20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1F2937"/>
                            <w:spacing w:val="5"/>
                            <w:sz w:val="20"/>
                            <w:szCs w:val="20"/>
                          </w:rPr>
                          <w:t>网关依赖就绪检查。</w:t>
                        </w:r>
                      </w:p>
                    </w:tc>
                  </w:tr>
                </w:tbl>
                <w:p w14:paraId="65E55E85"/>
              </w:txbxContent>
            </v:textbox>
          </v:shape>
        </w:pict>
      </w:r>
    </w:p>
    <w:tbl>
      <w:tblPr>
        <w:tblStyle w:val="5"/>
        <w:tblW w:w="5010" w:type="dxa"/>
        <w:tblInd w:w="5182" w:type="dxa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10"/>
      </w:tblGrid>
      <w:tr w14:paraId="3E772C7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0" w:hRule="atLeast"/>
        </w:trPr>
        <w:tc>
          <w:tcPr>
            <w:tcW w:w="5010" w:type="dxa"/>
          </w:tcPr>
          <w:p w14:paraId="4E16CA35">
            <w:pPr>
              <w:spacing w:before="155" w:line="237" w:lineRule="auto"/>
              <w:ind w:left="169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b/>
                <w:bCs/>
                <w:color w:val="1F2937"/>
                <w:spacing w:val="6"/>
                <w:sz w:val="20"/>
                <w:szCs w:val="20"/>
              </w:rPr>
              <w:t>远程/集群证据</w:t>
            </w:r>
          </w:p>
          <w:p w14:paraId="5B5826F3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rFonts w:ascii="Microsoft YaHei" w:hAnsi="Microsoft YaHei" w:eastAsia="Microsoft YaHei" w:cs="Microsoft YaHei"/>
                <w:color w:val="1F2937"/>
                <w:position w:val="4"/>
                <w:sz w:val="20"/>
                <w:szCs w:val="20"/>
              </w:rPr>
              <w:drawing>
                <wp:inline distT="0" distB="0" distL="0" distR="0">
                  <wp:extent cx="47625" cy="4762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hAnsi="Microsoft YaHei" w:eastAsia="Microsoft YaHei" w:cs="Microsoft YaHei"/>
                <w:color w:val="1F2937"/>
                <w:spacing w:val="7"/>
                <w:sz w:val="20"/>
                <w:szCs w:val="20"/>
              </w:rPr>
              <w:t xml:space="preserve">  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G itHub Actions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第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48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次完整运行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：测试、镜像、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部署和健康检查成功。</w:t>
            </w:r>
          </w:p>
          <w:p w14:paraId="5FDB0DF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color w:val="1F2937"/>
                <w:spacing w:val="10"/>
                <w:position w:val="3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03_devops/2026-08-27-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</w:t>
            </w:r>
            <w:r>
              <w:rPr>
                <w:color w:val="1F2937"/>
                <w:spacing w:val="10"/>
                <w:position w:val="3"/>
                <w:lang w:eastAsia="zh-CN"/>
              </w:rPr>
              <w:t>Kubernetes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Kind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部署、数据库隔离、跨服务订单流转。</w:t>
            </w:r>
          </w:p>
          <w:p w14:paraId="71B4C1AE">
            <w:pPr>
              <w:pStyle w:val="6"/>
              <w:spacing w:before="100" w:beforeAutospacing="1" w:after="100" w:afterAutospacing="1"/>
              <w:ind w:left="210" w:leftChars="100" w:right="210" w:rightChars="100"/>
              <w:rPr>
                <w:rFonts w:ascii="Microsoft YaHei" w:hAnsi="Microsoft YaHei" w:eastAsia="Microsoft YaHei" w:cs="Microsoft YaHei"/>
                <w:sz w:val="20"/>
                <w:szCs w:val="20"/>
                <w:lang w:eastAsia="zh-CN"/>
              </w:rPr>
            </w:pPr>
            <w:r>
              <w:rPr>
                <w:color w:val="1F2937"/>
                <w:spacing w:val="10"/>
                <w:position w:val="3"/>
                <w:lang w:eastAsia="zh-CN"/>
              </w:rPr>
              <w:drawing>
                <wp:inline distT="0" distB="0" distL="0" distR="0">
                  <wp:extent cx="47625" cy="4762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 03_devops/2026-08-28-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微服务自动部署与可观测性验证记录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.md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：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门禁流水线、</w:t>
            </w:r>
            <w:r>
              <w:rPr>
                <w:color w:val="1F2937"/>
                <w:spacing w:val="10"/>
                <w:position w:val="3"/>
                <w:lang w:eastAsia="zh-CN"/>
              </w:rPr>
              <w:t xml:space="preserve"> SHA 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镜像、健康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就绪</w:t>
            </w:r>
            <w:r>
              <w:rPr>
                <w:color w:val="1F2937"/>
                <w:spacing w:val="10"/>
                <w:position w:val="3"/>
                <w:lang w:eastAsia="zh-CN"/>
              </w:rPr>
              <w:t>/</w:t>
            </w:r>
            <w:r>
              <w:rPr>
                <w:rFonts w:hint="eastAsia" w:ascii="SimSun" w:hAnsi="SimSun" w:eastAsia="SimSun" w:cs="SimSun"/>
                <w:color w:val="1F2937"/>
                <w:spacing w:val="10"/>
                <w:position w:val="3"/>
                <w:lang w:eastAsia="zh-CN"/>
              </w:rPr>
              <w:t>版本检查、失败诊断与恢复。</w:t>
            </w:r>
          </w:p>
        </w:tc>
      </w:tr>
    </w:tbl>
    <w:p w14:paraId="7CF0CB2E">
      <w:pPr>
        <w:spacing w:line="366" w:lineRule="auto"/>
        <w:rPr>
          <w:lang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ECC4D">
      <w:pPr>
        <w:spacing w:line="382" w:lineRule="auto"/>
        <w:rPr>
          <w:lang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477000" cy="9525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0917F">
      <w:pPr>
        <w:pStyle w:val="4"/>
        <w:spacing w:before="121" w:line="187" w:lineRule="auto"/>
        <w:ind w:left="5"/>
        <w:outlineLvl w:val="1"/>
        <w:rPr>
          <w:sz w:val="28"/>
          <w:szCs w:val="28"/>
          <w:lang w:eastAsia="zh-CN"/>
        </w:rPr>
      </w:pPr>
      <w:r>
        <w:rPr>
          <w:rFonts w:hint="eastAsia"/>
          <w:b/>
          <w:bCs/>
          <w:color w:val="0F172A"/>
          <w:spacing w:val="8"/>
          <w:sz w:val="28"/>
          <w:szCs w:val="28"/>
          <w:lang w:eastAsia="zh-CN"/>
        </w:rPr>
        <w:t>四</w:t>
      </w:r>
      <w:r>
        <w:rPr>
          <w:b/>
          <w:bCs/>
          <w:color w:val="0F172A"/>
          <w:spacing w:val="8"/>
          <w:sz w:val="28"/>
          <w:szCs w:val="28"/>
          <w:lang w:eastAsia="zh-CN"/>
        </w:rPr>
        <w:t>、依据文件</w:t>
      </w:r>
    </w:p>
    <w:p w14:paraId="3CFA81B7">
      <w:pPr>
        <w:pStyle w:val="4"/>
        <w:spacing w:before="116" w:line="230" w:lineRule="auto"/>
        <w:ind w:left="2" w:right="48" w:firstLine="16"/>
        <w:rPr>
          <w:sz w:val="18"/>
          <w:szCs w:val="18"/>
        </w:rPr>
      </w:pPr>
      <w:r>
        <w:rPr>
          <w:color w:val="4B5563"/>
          <w:spacing w:val="1"/>
          <w:sz w:val="18"/>
          <w:szCs w:val="18"/>
          <w:lang w:eastAsia="zh-CN"/>
        </w:rPr>
        <w:t>1.</w:t>
      </w:r>
      <w:r>
        <w:rPr>
          <w:color w:val="4B5563"/>
          <w:spacing w:val="49"/>
          <w:w w:val="101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06_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defense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/</w:t>
      </w:r>
      <w:r>
        <w:rPr>
          <w:color w:val="4B5563"/>
          <w:spacing w:val="1"/>
          <w:sz w:val="18"/>
          <w:szCs w:val="18"/>
          <w:lang w:eastAsia="zh-CN"/>
        </w:rPr>
        <w:t>小学期交付总览</w:t>
      </w:r>
      <w:r>
        <w:rPr>
          <w:color w:val="4B5563"/>
          <w:spacing w:val="-19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>：中期七项对照。</w:t>
      </w:r>
      <w:r>
        <w:rPr>
          <w:color w:val="4B5563"/>
          <w:spacing w:val="16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>2.</w:t>
      </w:r>
      <w:r>
        <w:rPr>
          <w:color w:val="4B5563"/>
          <w:spacing w:val="49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02_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docs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/</w:t>
      </w:r>
      <w:r>
        <w:rPr>
          <w:color w:val="4B5563"/>
          <w:spacing w:val="1"/>
          <w:sz w:val="18"/>
          <w:szCs w:val="18"/>
          <w:lang w:eastAsia="zh-CN"/>
        </w:rPr>
        <w:t>微服务接口与数据归属</w:t>
      </w:r>
      <w:r>
        <w:rPr>
          <w:color w:val="4B5563"/>
          <w:spacing w:val="-18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52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>：服</w:t>
      </w:r>
      <w:r>
        <w:rPr>
          <w:color w:val="4B5563"/>
          <w:sz w:val="18"/>
          <w:szCs w:val="18"/>
          <w:lang w:eastAsia="zh-CN"/>
        </w:rPr>
        <w:t>务划分、接口、表归属、</w:t>
      </w:r>
      <w:r>
        <w:rPr>
          <w:color w:val="4B5563"/>
          <w:spacing w:val="2"/>
          <w:sz w:val="18"/>
          <w:szCs w:val="18"/>
          <w:lang w:eastAsia="zh-CN"/>
        </w:rPr>
        <w:t>失败处理。</w:t>
      </w:r>
      <w:r>
        <w:rPr>
          <w:color w:val="4B5563"/>
          <w:spacing w:val="18"/>
          <w:w w:val="101"/>
          <w:sz w:val="18"/>
          <w:szCs w:val="18"/>
          <w:lang w:eastAsia="zh-CN"/>
        </w:rPr>
        <w:t xml:space="preserve"> </w:t>
      </w:r>
      <w:r>
        <w:rPr>
          <w:color w:val="4B5563"/>
          <w:spacing w:val="2"/>
          <w:sz w:val="18"/>
          <w:szCs w:val="18"/>
          <w:lang w:eastAsia="zh-CN"/>
        </w:rPr>
        <w:t>3.</w:t>
      </w:r>
      <w:r>
        <w:rPr>
          <w:color w:val="4B5563"/>
          <w:spacing w:val="49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  <w:t>02_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docs</w:t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  <w:t>/</w:t>
      </w:r>
      <w:r>
        <w:rPr>
          <w:color w:val="4B5563"/>
          <w:spacing w:val="2"/>
          <w:sz w:val="18"/>
          <w:szCs w:val="18"/>
          <w:lang w:eastAsia="zh-CN"/>
        </w:rPr>
        <w:t>图表绘制与插入位置清</w:t>
      </w:r>
      <w:r>
        <w:rPr>
          <w:color w:val="4B5563"/>
          <w:spacing w:val="1"/>
          <w:sz w:val="18"/>
          <w:szCs w:val="18"/>
          <w:lang w:eastAsia="zh-CN"/>
        </w:rPr>
        <w:t>单</w:t>
      </w:r>
      <w:r>
        <w:rPr>
          <w:color w:val="4B5563"/>
          <w:spacing w:val="-19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 xml:space="preserve">：31 张必需图和导出检查。 </w:t>
      </w:r>
      <w:r>
        <w:rPr>
          <w:color w:val="4B5563"/>
          <w:spacing w:val="1"/>
          <w:sz w:val="18"/>
          <w:szCs w:val="18"/>
        </w:rPr>
        <w:t xml:space="preserve">4. 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04_</w:t>
      </w:r>
      <w:r>
        <w:rPr>
          <w:rFonts w:ascii="Consolas" w:hAnsi="Consolas" w:eastAsia="Consolas" w:cs="Consolas"/>
          <w:color w:val="4B5563"/>
          <w:sz w:val="18"/>
          <w:szCs w:val="18"/>
        </w:rPr>
        <w:t>tests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/</w:t>
      </w:r>
      <w:r>
        <w:rPr>
          <w:rFonts w:ascii="Consolas" w:hAnsi="Consolas" w:eastAsia="Consolas" w:cs="Consolas"/>
          <w:color w:val="4B5563"/>
          <w:sz w:val="18"/>
          <w:szCs w:val="18"/>
        </w:rPr>
        <w:t>reports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/</w:t>
      </w:r>
      <w:r>
        <w:rPr>
          <w:rFonts w:ascii="Consolas" w:hAnsi="Consolas" w:eastAsia="Consolas" w:cs="Consolas"/>
          <w:color w:val="4B5563"/>
          <w:sz w:val="18"/>
          <w:szCs w:val="18"/>
        </w:rPr>
        <w:t>tests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/</w:t>
      </w:r>
      <w:r>
        <w:rPr>
          <w:color w:val="4B5563"/>
          <w:spacing w:val="1"/>
          <w:sz w:val="18"/>
          <w:szCs w:val="18"/>
        </w:rPr>
        <w:t>测试报告</w:t>
      </w:r>
      <w:r>
        <w:rPr>
          <w:color w:val="4B5563"/>
          <w:spacing w:val="-29"/>
          <w:sz w:val="18"/>
          <w:szCs w:val="18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-</w:t>
      </w:r>
      <w:r>
        <w:rPr>
          <w:color w:val="4B5563"/>
          <w:spacing w:val="2"/>
          <w:sz w:val="18"/>
          <w:szCs w:val="18"/>
        </w:rPr>
        <w:t>小学期</w:t>
      </w:r>
      <w:r>
        <w:rPr>
          <w:color w:val="4B5563"/>
          <w:spacing w:val="-18"/>
          <w:sz w:val="18"/>
          <w:szCs w:val="18"/>
        </w:rPr>
        <w:t xml:space="preserve"> </w:t>
      </w:r>
      <w:r>
        <w:rPr>
          <w:rFonts w:ascii="Consolas" w:hAnsi="Consolas" w:eastAsia="Consolas" w:cs="Consolas"/>
          <w:color w:val="4B5563"/>
          <w:spacing w:val="2"/>
          <w:sz w:val="18"/>
          <w:szCs w:val="18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</w:rPr>
        <w:t>md</w:t>
      </w:r>
      <w:r>
        <w:rPr>
          <w:rFonts w:ascii="Consolas" w:hAnsi="Consolas" w:eastAsia="Consolas" w:cs="Consolas"/>
          <w:color w:val="4B5563"/>
          <w:spacing w:val="-54"/>
          <w:sz w:val="18"/>
          <w:szCs w:val="18"/>
        </w:rPr>
        <w:t xml:space="preserve"> </w:t>
      </w:r>
      <w:r>
        <w:rPr>
          <w:color w:val="4B5563"/>
          <w:spacing w:val="2"/>
          <w:sz w:val="18"/>
          <w:szCs w:val="18"/>
        </w:rPr>
        <w:t>：测试覆盖。</w:t>
      </w:r>
      <w:r>
        <w:rPr>
          <w:color w:val="4B5563"/>
          <w:spacing w:val="21"/>
          <w:w w:val="101"/>
          <w:sz w:val="18"/>
          <w:szCs w:val="18"/>
        </w:rPr>
        <w:t xml:space="preserve"> </w:t>
      </w:r>
      <w:r>
        <w:rPr>
          <w:color w:val="4B5563"/>
          <w:spacing w:val="2"/>
          <w:sz w:val="18"/>
          <w:szCs w:val="18"/>
          <w:lang w:eastAsia="zh-CN"/>
        </w:rPr>
        <w:t>5.</w:t>
      </w:r>
      <w:r>
        <w:rPr>
          <w:color w:val="4B5563"/>
          <w:spacing w:val="49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  <w:t>03_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devops</w:t>
      </w:r>
      <w:r>
        <w:rPr>
          <w:rFonts w:ascii="Consolas" w:hAnsi="Consolas" w:eastAsia="Consolas" w:cs="Consolas"/>
          <w:color w:val="4B5563"/>
          <w:spacing w:val="2"/>
          <w:sz w:val="18"/>
          <w:szCs w:val="18"/>
          <w:lang w:eastAsia="zh-CN"/>
        </w:rPr>
        <w:t>/2026-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08-27-</w:t>
      </w:r>
      <w:r>
        <w:rPr>
          <w:color w:val="4B5563"/>
          <w:spacing w:val="1"/>
          <w:sz w:val="18"/>
          <w:szCs w:val="18"/>
          <w:lang w:eastAsia="zh-CN"/>
        </w:rPr>
        <w:t>微服务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Kubernetes</w:t>
      </w:r>
      <w:r>
        <w:rPr>
          <w:color w:val="4B5563"/>
          <w:spacing w:val="1"/>
          <w:sz w:val="18"/>
          <w:szCs w:val="18"/>
          <w:lang w:eastAsia="zh-CN"/>
        </w:rPr>
        <w:t>验证记录</w:t>
      </w:r>
      <w:r>
        <w:rPr>
          <w:color w:val="4B5563"/>
          <w:spacing w:val="-18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48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 xml:space="preserve">、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03_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devops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/2026-08-28-</w:t>
      </w:r>
      <w:r>
        <w:rPr>
          <w:color w:val="4B5563"/>
          <w:spacing w:val="1"/>
          <w:sz w:val="18"/>
          <w:szCs w:val="18"/>
          <w:lang w:eastAsia="zh-CN"/>
        </w:rPr>
        <w:t>微服务自动部署与可观测性验证记录</w:t>
      </w:r>
      <w:r>
        <w:rPr>
          <w:color w:val="4B5563"/>
          <w:spacing w:val="-4"/>
          <w:sz w:val="18"/>
          <w:szCs w:val="18"/>
          <w:lang w:eastAsia="zh-CN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  <w:lang w:eastAsia="zh-CN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  <w:lang w:eastAsia="zh-CN"/>
        </w:rPr>
        <w:t>md</w:t>
      </w:r>
      <w:r>
        <w:rPr>
          <w:rFonts w:ascii="Consolas" w:hAnsi="Consolas" w:eastAsia="Consolas" w:cs="Consolas"/>
          <w:color w:val="4B5563"/>
          <w:spacing w:val="-24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  <w:lang w:eastAsia="zh-CN"/>
        </w:rPr>
        <w:t>：部署、流水线、可观测性。</w:t>
      </w:r>
      <w:r>
        <w:rPr>
          <w:color w:val="4B5563"/>
          <w:spacing w:val="16"/>
          <w:sz w:val="18"/>
          <w:szCs w:val="18"/>
          <w:lang w:eastAsia="zh-CN"/>
        </w:rPr>
        <w:t xml:space="preserve"> </w:t>
      </w:r>
      <w:r>
        <w:rPr>
          <w:color w:val="4B5563"/>
          <w:spacing w:val="1"/>
          <w:sz w:val="18"/>
          <w:szCs w:val="18"/>
        </w:rPr>
        <w:t>6.</w:t>
      </w:r>
      <w:r>
        <w:rPr>
          <w:color w:val="4B5563"/>
          <w:spacing w:val="49"/>
          <w:sz w:val="18"/>
          <w:szCs w:val="18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06_</w:t>
      </w:r>
      <w:r>
        <w:rPr>
          <w:rFonts w:ascii="Consolas" w:hAnsi="Consolas" w:eastAsia="Consolas" w:cs="Consolas"/>
          <w:color w:val="4B5563"/>
          <w:sz w:val="18"/>
          <w:szCs w:val="18"/>
        </w:rPr>
        <w:t>defense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/</w:t>
      </w:r>
      <w:r>
        <w:rPr>
          <w:color w:val="4B5563"/>
          <w:spacing w:val="1"/>
          <w:sz w:val="18"/>
          <w:szCs w:val="18"/>
        </w:rPr>
        <w:t>最终交付核查清单</w:t>
      </w:r>
      <w:r>
        <w:rPr>
          <w:color w:val="4B5563"/>
          <w:spacing w:val="-19"/>
          <w:sz w:val="18"/>
          <w:szCs w:val="18"/>
        </w:rPr>
        <w:t xml:space="preserve"> </w:t>
      </w:r>
      <w:r>
        <w:rPr>
          <w:rFonts w:ascii="Consolas" w:hAnsi="Consolas" w:eastAsia="Consolas" w:cs="Consolas"/>
          <w:color w:val="4B5563"/>
          <w:spacing w:val="1"/>
          <w:sz w:val="18"/>
          <w:szCs w:val="18"/>
        </w:rPr>
        <w:t>.</w:t>
      </w:r>
      <w:r>
        <w:rPr>
          <w:rFonts w:ascii="Consolas" w:hAnsi="Consolas" w:eastAsia="Consolas" w:cs="Consolas"/>
          <w:color w:val="4B5563"/>
          <w:sz w:val="18"/>
          <w:szCs w:val="18"/>
        </w:rPr>
        <w:t>md</w:t>
      </w:r>
      <w:r>
        <w:rPr>
          <w:rFonts w:ascii="Consolas" w:hAnsi="Consolas" w:eastAsia="Consolas" w:cs="Consolas"/>
          <w:color w:val="4B5563"/>
          <w:spacing w:val="-52"/>
          <w:sz w:val="18"/>
          <w:szCs w:val="18"/>
        </w:rPr>
        <w:t xml:space="preserve"> </w:t>
      </w:r>
      <w:r>
        <w:rPr>
          <w:color w:val="4B5563"/>
          <w:spacing w:val="1"/>
          <w:sz w:val="18"/>
          <w:szCs w:val="18"/>
        </w:rPr>
        <w:t>：状态和人工补齐项。</w:t>
      </w:r>
    </w:p>
    <w:sectPr>
      <w:headerReference r:id="rId6" w:type="default"/>
      <w:pgSz w:w="11900" w:h="16839"/>
      <w:pgMar w:top="400" w:right="844" w:bottom="0" w:left="85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22D57">
    <w:pPr>
      <w:spacing w:line="52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542925</wp:posOffset>
          </wp:positionH>
          <wp:positionV relativeFrom="page">
            <wp:posOffset>504825</wp:posOffset>
          </wp:positionV>
          <wp:extent cx="6477000" cy="9525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700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16254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5E38AE"/>
    <w:rsid w:val="000B2B79"/>
    <w:rsid w:val="000E4227"/>
    <w:rsid w:val="00196140"/>
    <w:rsid w:val="001D309F"/>
    <w:rsid w:val="001F3286"/>
    <w:rsid w:val="002532BD"/>
    <w:rsid w:val="004C411B"/>
    <w:rsid w:val="00541A34"/>
    <w:rsid w:val="005A2B9C"/>
    <w:rsid w:val="005A7BF0"/>
    <w:rsid w:val="005E38AE"/>
    <w:rsid w:val="005F71DE"/>
    <w:rsid w:val="0069290B"/>
    <w:rsid w:val="007F3F31"/>
    <w:rsid w:val="0081792B"/>
    <w:rsid w:val="009D1B92"/>
    <w:rsid w:val="00A7319A"/>
    <w:rsid w:val="00AB6B7D"/>
    <w:rsid w:val="00BC7580"/>
    <w:rsid w:val="00C031C9"/>
    <w:rsid w:val="00C95820"/>
    <w:rsid w:val="00CB4C5D"/>
    <w:rsid w:val="00D07E00"/>
    <w:rsid w:val="00F75581"/>
    <w:rsid w:val="00FF66D1"/>
    <w:rsid w:val="2E3B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 w:line="240" w:lineRule="auto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aHei" w:hAnsi="Microsoft YaHei" w:eastAsia="Microsoft YaHei" w:cs="Microsoft YaHei"/>
      <w:sz w:val="20"/>
      <w:szCs w:val="20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26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2118</Words>
  <Characters>3390</Characters>
  <Lines>228</Lines>
  <Paragraphs>121</Paragraphs>
  <TotalTime>71</TotalTime>
  <ScaleCrop>false</ScaleCrop>
  <LinksUpToDate>false</LinksUpToDate>
  <CharactersWithSpaces>3707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2026-08-29T01:19:00Z</dcterms:created>
  <dc:creator>zhich</dc:creator>
  <cp:lastModifiedBy>Zhichen</cp:lastModifiedBy>
  <dcterms:modified xsi:type="dcterms:W3CDTF">2026-08-29T07:10:13Z</dcterms:modified>
  <dc:title>softw 中期审查核对清单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2026-08-29T09:24:13Z</vt:filetime>
  </property>
  <property fmtid="{D5CDD505-2E9C-101B-9397-08002B2CF9AE}" pid="4" name="KSOTemplateDocerSaveRecord">
    <vt:lpwstr>eyJoZGlkIjoiNjI5MzExZmQ3OGJiMzY0M2I4NTYzZTYxODZmODEwNDUiLCJ1c2VySWQiOiIxMTE3MjE4MDI0ODg4In0=</vt:lpwstr>
  </property>
  <property fmtid="{D5CDD505-2E9C-101B-9397-08002B2CF9AE}" pid="5" name="KSOProductBuildVer">
    <vt:lpwstr>1033-12.1.0.28485</vt:lpwstr>
  </property>
  <property fmtid="{D5CDD505-2E9C-101B-9397-08002B2CF9AE}" pid="6" name="ICV">
    <vt:lpwstr>DB222BC29B6E4357A881F53C4B1D31EE_13</vt:lpwstr>
  </property>
</Properties>
</file>