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36"/>
        </w:rPr>
        <w:t>软件详细设计说明书</w:t>
      </w:r>
    </w:p>
    <w:p>
      <w:pPr>
        <w:pStyle w:val="Heading1"/>
      </w:pPr>
      <w:r>
        <w:rPr>
          <w:rFonts w:ascii="Microsoft YaHei" w:hAnsi="Microsoft YaHei" w:eastAsia="Microsoft YaHei"/>
          <w:sz w:val="22"/>
        </w:rPr>
        <w:t>软件详细设计说明书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1. 文档目的</w:t>
      </w:r>
    </w:p>
    <w:p>
      <w:r>
        <w:rPr>
          <w:rFonts w:ascii="Microsoft YaHei" w:hAnsi="Microsoft YaHei" w:eastAsia="Microsoft YaHei"/>
          <w:b w:val="0"/>
          <w:sz w:val="22"/>
        </w:rPr>
        <w:t>本文把概要组件落实到当前仓库中的页面、API 方法、控制器函数、Sequelize 模型和关键业务规则，并给出 UC01-UC12 的对象级顺序图。名称均对应真实代码，可直接从图追溯到实现和测试。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2. 代码结构</w:t>
      </w:r>
    </w:p>
    <w:p>
      <w:r>
        <w:rPr>
          <w:rFonts w:ascii="Microsoft YaHei" w:hAnsi="Microsoft YaHei" w:eastAsia="Microsoft YaHei"/>
          <w:b w:val="0"/>
          <w:sz w:val="18"/>
        </w:rPr>
        <w:t>frontend/src/</w:t>
        <w:br/>
        <w:t xml:space="preserve">  pages/                 页面级业务入口</w:t>
        <w:br/>
        <w:t xml:space="preserve">  components/            地址、商品、评价等复用组件</w:t>
        <w:br/>
        <w:t xml:space="preserve">  services/api.js        Axios 实例和领域 API 对象</w:t>
        <w:br/>
        <w:t xml:space="preserve">  store/cartSlice.js     购物车 Redux reducer</w:t>
        <w:br/>
        <w:t>backend/</w:t>
        <w:br/>
        <w:t xml:space="preserve">  app.js                 Express 装配、健康检查和全局错误处理</w:t>
        <w:br/>
        <w:t xml:space="preserve">  middleware/            JWT、安全头、限流和 CORS</w:t>
        <w:br/>
        <w:t xml:space="preserve">  routes/                URL 与控制器函数映射</w:t>
        <w:br/>
        <w:t xml:space="preserve">  controllers/           业务规则、权限和状态转换</w:t>
        <w:br/>
        <w:t xml:space="preserve">  models/                Sequelize 模型</w:t>
        <w:br/>
        <w:t xml:space="preserve">  utils/                 信用规则和建表兼容逻辑</w:t>
        <w:br/>
        <w:t>services/</w:t>
        <w:br/>
        <w:t xml:space="preserve">  api-gateway/           HTTP 转发和 503 降级</w:t>
        <w:br/>
        <w:t xml:space="preserve">  user-service/          用户服务拆分样例</w:t>
        <w:br/>
        <w:t xml:space="preserve">  product-service/       商品服务拆分样例</w:t>
        <w:br/>
        <w:t xml:space="preserve">  order-service/         订单服务拆分样例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3. 实现类图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3.1 DESIGN-CLASS 类图</w:t>
      </w:r>
    </w:p>
    <w:p>
      <w:r>
        <w:rPr>
          <w:rFonts w:ascii="Microsoft YaHei" w:hAnsi="Microsoft YaHei" w:eastAsia="Microsoft YaHei"/>
          <w:b w:val="0"/>
          <w:sz w:val="22"/>
        </w:rPr>
        <w:t>**图 DESIGN-CLASS：实现类图。最终 PDF 应在本节保留该图。**</w:t>
      </w:r>
    </w:p>
    <w:p>
      <w:r>
        <w:drawing>
          <wp:inline xmlns:a="http://schemas.openxmlformats.org/drawingml/2006/main" xmlns:pic="http://schemas.openxmlformats.org/drawingml/2006/picture">
            <wp:extent cx="5580000" cy="7221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DESIGN-CL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22-DESIGN-CLASS.svg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源文件：22-DESIGN-CLASS.mmd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4. 前端对象设计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对象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状态/输入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关键行为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`AuthPage`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mode、表单、loading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调用 `userApi.register/login`，保存 token 和 user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`SearchPage`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keyword、filters、sort、pagination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调用 `productApi.getList` 并渲染结果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`ProductDetailPage`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product、quantity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查询详情，向 `cartSlice` 分发 `addToCart`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`cartSlice`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items、storageKey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按用户隔离；合并同商品；数量按库存截断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`CheckoutPage`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cart/bargain item、addresses、payment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读取地址；普通购物车下单，或携带议价消息编号提交专属订单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`ShopPage`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shop、verification form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上传图片、提交认证、编辑店铺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`EvaluationPage`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order、ratings、contents、已有评价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加载订单后再渲染表单；已评价商品只读展示原文、星级和回复，未评价项才可提交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`ChatPage`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conversation、messages、amount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文本、议价及卖家处理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`AddressManager`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address list、editing item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整体替换保存，保证默认项交互一致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`OrderPage`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orders、loading、error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查询本人订单，展示物流，执行取消/支付/确认收货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`PublicShopPage`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shop、products、credit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按卖家加载公开店铺、信用和在售商品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`frontend/src/services/api.js` 的请求拦截器从 `localStorage` 读取 token，统一添加 `Authorization: Bearer &lt;token&gt;`。超时默认 3000ms，上传为 15000ms。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5. 后端对象与规则设计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控制器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关键函数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主要规则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`userController`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`register`, `login`, `updatePassword`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邮箱格式、密码长度、唯一性、bcrypt、JWT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`productController`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`buildWhere`, `getProducts`, `createProduct`, `updateProduct`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分页 1-100、在售默认、店铺认证、卖家归属、状态白名单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`orderController`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`createOrder`, `cancelOrder`, `payOrder`, `shipOrder`, `confirmOrder`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事务库存、议价买家/商品/状态校验、一次性核销、角色权限、状态机、完整物流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`shopController`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`getOrCreateShop`, `submitShopVerification`, `updateMyShop`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一用户一店铺、认证必填字段、本人管理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`evaluationController`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`createEvaluation`, `replyEvaluation`, `updateProductRating`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完成订单、买家归属、商品关系、不可重复、回复线程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`chatController`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`createOrGetConversation`, `sendMessage`, `decideRequest`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禁止自聊、成员权限、金额有效、卖家一次性处理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`addressController`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`normalizeInput`, `replaceAddresses`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过滤不完整地址、唯一默认、账号隔离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6. 数据模型细节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模型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主键和关键字段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关联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`User`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`id`, `username`, `email`, `password`, `role`, `creditScore`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店铺、商品、订单、地址、评价和会话参与者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`Shop`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`id`, `userId`, `verificationStatus`, `status`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`belongsTo(User)`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`Product`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`id`, `sellerId`, `price`, `stock`, `status`, `isSecondhand`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`belongsTo(User)`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`Order`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`id`, `userId`, JSON `items`, `shippingAddress`, `logisticsInfo`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`belongsTo(User)`；商品采用下单快照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`Evaluation`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`id`, `orderId`, `userId`, `productId`, `sellerId`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属于订单、商品、买家和卖家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`Address`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string `id`, `userId`, `isDefault`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`belongsTo(User)`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`ChatConversation`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`id`, `buyerId`, `sellerId`, `productId`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属于买家、卖家和商品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`ChatMessage`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`id`, `conversationId`, `senderId`, `requestStatus`, `redeemedAt`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属于会话和发送者；成功议价下单后记录核销时间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订单的 `items`、`shippingAddress`、`logisticsInfo` 使用 JSON 保存业务快照，避免商品或地址后续编辑改变历史订单。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7. 对象级业务模型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7.1 OBJ-SEQ01 注册与登录对象调用</w:t>
      </w:r>
    </w:p>
    <w:p>
      <w:r>
        <w:drawing>
          <wp:inline xmlns:a="http://schemas.openxmlformats.org/drawingml/2006/main" xmlns:pic="http://schemas.openxmlformats.org/drawingml/2006/picture">
            <wp:extent cx="5580000" cy="7221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OBJ-SEQ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23-OBJ-SEQ01.svg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源文件：23-OBJ-SEQ01.mmd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7.2 OBJ-SEQ02 商品检索对象调用</w:t>
      </w:r>
    </w:p>
    <w:p>
      <w:r>
        <w:drawing>
          <wp:inline xmlns:a="http://schemas.openxmlformats.org/drawingml/2006/main" xmlns:pic="http://schemas.openxmlformats.org/drawingml/2006/picture">
            <wp:extent cx="5580000" cy="72211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OBJ-SEQ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24-OBJ-SEQ02.svg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源文件：24-OBJ-SEQ02.mmd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7.3 OBJ-SEQ03 详情与购物车对象调用</w:t>
      </w:r>
    </w:p>
    <w:p>
      <w:r>
        <w:drawing>
          <wp:inline xmlns:a="http://schemas.openxmlformats.org/drawingml/2006/main" xmlns:pic="http://schemas.openxmlformats.org/drawingml/2006/picture">
            <wp:extent cx="5580000" cy="72211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OBJ-SEQ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25-OBJ-SEQ03.svg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源文件：25-OBJ-SEQ03.mmd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7.4 OBJ-SEQ04 订单状态与事务对象调用</w:t>
      </w:r>
    </w:p>
    <w:p>
      <w:r>
        <w:drawing>
          <wp:inline xmlns:a="http://schemas.openxmlformats.org/drawingml/2006/main" xmlns:pic="http://schemas.openxmlformats.org/drawingml/2006/picture">
            <wp:extent cx="5580000" cy="72211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OBJ-SEQ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26-OBJ-SEQ04.svg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源文件：26-OBJ-SEQ04.mmd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7.5 OBJ-SEQ05 二手发布对象调用</w:t>
      </w:r>
    </w:p>
    <w:p>
      <w:r>
        <w:drawing>
          <wp:inline xmlns:a="http://schemas.openxmlformats.org/drawingml/2006/main" xmlns:pic="http://schemas.openxmlformats.org/drawingml/2006/picture">
            <wp:extent cx="5580000" cy="72211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OBJ-SEQ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27-OBJ-SEQ05.svg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源文件：27-OBJ-SEQ05.mmd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7.6 OBJ-SEQ06 店铺认证对象调用</w:t>
      </w:r>
    </w:p>
    <w:p>
      <w:r>
        <w:drawing>
          <wp:inline xmlns:a="http://schemas.openxmlformats.org/drawingml/2006/main" xmlns:pic="http://schemas.openxmlformats.org/drawingml/2006/picture">
            <wp:extent cx="5580000" cy="72211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OBJ-SEQ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28-OBJ-SEQ06.svg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源文件：28-OBJ-SEQ06.mmd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7.7 OBJ-SEQ07 评价与回复对象调用</w:t>
      </w:r>
    </w:p>
    <w:p>
      <w:r>
        <w:rPr>
          <w:rFonts w:ascii="Microsoft YaHei" w:hAnsi="Microsoft YaHei" w:eastAsia="Microsoft YaHei"/>
          <w:b w:val="0"/>
          <w:sz w:val="22"/>
        </w:rPr>
        <w:t>评价页先请求订单与当前用户评价历史，再渲染表单；已评价商品展示原文、星级和回复，不可重复提交。顺序图仍描述创建评价与回复的对象调用。</w:t>
      </w:r>
    </w:p>
    <w:p>
      <w:r>
        <w:drawing>
          <wp:inline xmlns:a="http://schemas.openxmlformats.org/drawingml/2006/main" xmlns:pic="http://schemas.openxmlformats.org/drawingml/2006/picture">
            <wp:extent cx="5580000" cy="72211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OBJ-SEQ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29-OBJ-SEQ07.svg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源文件：29-OBJ-SEQ07.mmd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7.8 OBJ-SEQ08 聊天议价对象调用</w:t>
      </w:r>
    </w:p>
    <w:p>
      <w:r>
        <w:drawing>
          <wp:inline xmlns:a="http://schemas.openxmlformats.org/drawingml/2006/main" xmlns:pic="http://schemas.openxmlformats.org/drawingml/2006/picture">
            <wp:extent cx="5580000" cy="72211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OBJ-SEQ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30-OBJ-SEQ08.svg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源文件：30-OBJ-SEQ08.mmd</w:t>
      </w:r>
    </w:p>
    <w:p>
      <w:r>
        <w:rPr>
          <w:rFonts w:ascii="Microsoft YaHei" w:hAnsi="Microsoft YaHei" w:eastAsia="Microsoft YaHei"/>
          <w:b w:val="0"/>
          <w:sz w:val="22"/>
        </w:rPr>
        <w:t>补充对象调用：`ChatPage` 将 `productId`、`bargainMessageId` 和固定数量 1 交给 `orderController.createOrder`；控制器锁定 `ChatMessage`，通过 `ChatConversation` 校验买家、商品和卖家，按 `message.amount` 创建 `Order`，并在同一事务中更新 `redeemedAt`。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7.9 OBJ-SEQ09 地址维护对象调用</w:t>
      </w:r>
    </w:p>
    <w:p>
      <w:r>
        <w:drawing>
          <wp:inline xmlns:a="http://schemas.openxmlformats.org/drawingml/2006/main" xmlns:pic="http://schemas.openxmlformats.org/drawingml/2006/picture">
            <wp:extent cx="5580000" cy="72211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OBJ-SEQ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31-OBJ-SEQ09.svg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源文件：31-OBJ-SEQ09.mmd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7.10 OBJ-SEQ10 订单与物流查询对象调用</w:t>
      </w:r>
    </w:p>
    <w:p>
      <w:r>
        <w:drawing>
          <wp:inline xmlns:a="http://schemas.openxmlformats.org/drawingml/2006/main" xmlns:pic="http://schemas.openxmlformats.org/drawingml/2006/picture">
            <wp:extent cx="5580000" cy="26953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OBJ-SEQ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5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40-OBJ-SEQ10.svg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源文件：40-OBJ-SEQ10.mmd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7.11 OBJ-SEQ11 取消订单事务对象调用</w:t>
      </w:r>
    </w:p>
    <w:p>
      <w:r>
        <w:drawing>
          <wp:inline xmlns:a="http://schemas.openxmlformats.org/drawingml/2006/main" xmlns:pic="http://schemas.openxmlformats.org/drawingml/2006/picture">
            <wp:extent cx="5580000" cy="32633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OBJ-SEQ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3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41-OBJ-SEQ11.svg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源文件：41-OBJ-SEQ11.mmd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7.12 OBJ-SEQ12 公开店铺对象调用</w:t>
      </w:r>
    </w:p>
    <w:p>
      <w:r>
        <w:drawing>
          <wp:inline xmlns:a="http://schemas.openxmlformats.org/drawingml/2006/main" xmlns:pic="http://schemas.openxmlformats.org/drawingml/2006/picture">
            <wp:extent cx="5580000" cy="269533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-OBJ-SEQ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5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42-OBJ-SEQ12.svg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源文件：42-OBJ-SEQ12.mmd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8. 订单状态机</w:t>
      </w:r>
    </w:p>
    <w:p>
      <w:r>
        <w:drawing>
          <wp:inline xmlns:a="http://schemas.openxmlformats.org/drawingml/2006/main" xmlns:pic="http://schemas.openxmlformats.org/drawingml/2006/picture">
            <wp:extent cx="5580000" cy="72211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ORDER-STA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32-ORDER-STATE.svg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源文件：32-ORDER-STATE.mmd</w:t>
      </w:r>
    </w:p>
    <w:p>
      <w:r>
        <w:rPr>
          <w:rFonts w:ascii="Microsoft YaHei" w:hAnsi="Microsoft YaHei" w:eastAsia="Microsoft YaHei"/>
          <w:b w:val="0"/>
          <w:sz w:val="22"/>
        </w:rPr>
        <w:t>订单状态机是详细设计辅助图，不替代 `OBJ-SEQ04`，也不计入 UC01-UC12 对应的 40 张必需图。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9. 异常和返回设计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状态码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使用场景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200/201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查询或更新成功/资源创建成功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400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参数、业务状态、库存、重复评价、非法议价等错误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401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缺少或无效 JWT、错误登录凭证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403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已登录但无资源权限或店铺未认证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404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商品、订单、店铺、评价或会话不存在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429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超过限流阈值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500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未预期内部错误，生产环境隐藏内部细节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503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数据库未就绪、健康检查降级或微服务上游不可用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10. 测试对应</w:t>
      </w:r>
    </w:p>
    <w:p>
      <w:r>
        <w:rPr>
          <w:rFonts w:ascii="Microsoft YaHei" w:hAnsi="Microsoft YaHei" w:eastAsia="Microsoft YaHei"/>
          <w:b w:val="0"/>
          <w:sz w:val="22"/>
        </w:rPr>
        <w:t>- 规则函数和页面组件由 `UNIT-TC01` 至 `UNIT-TC12` 覆盖，实现位于后端规则/控制器测试及前端 `orderPublicShop.test.jsx` 等测试文件。</w:t>
      </w:r>
    </w:p>
    <w:p>
      <w:r>
        <w:rPr>
          <w:rFonts w:ascii="Microsoft YaHei" w:hAnsi="Microsoft YaHei" w:eastAsia="Microsoft YaHei"/>
          <w:b w:val="0"/>
          <w:sz w:val="22"/>
        </w:rPr>
        <w:t>- 对象协作与真实数据库由 `INT-TC01-MAIN/ALT/ERR` 至 `INT-TC09-MAIN/ALT/ERR` 以及 `INT-PUBLIC-02` 覆盖；UC10-UC12 复用对应订单、取消和公开店铺接口的既有断言。</w:t>
      </w:r>
    </w:p>
    <w:p>
      <w:r>
        <w:rPr>
          <w:rFonts w:ascii="Microsoft YaHei" w:hAnsi="Microsoft YaHei" w:eastAsia="Microsoft YaHei"/>
          <w:b w:val="0"/>
          <w:sz w:val="22"/>
        </w:rPr>
        <w:t>- 页面入口由 `E2E-TC01` 至 `E2E-TC12` 覆盖，测试实现位于 `frontend/e2e/customer-flow.spec.js`。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