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ascii="Bodoni MT" w:hAnsi="Bodoni MT" w:eastAsia="" w:cs="" w:asciiTheme="majorHAnsi" w:cstheme="majorBidi" w:eastAsiaTheme="majorEastAsia" w:hAnsiTheme="majorHAnsi"/>
          <w:b/>
          <w:b/>
          <w:kern w:val="2"/>
          <w:sz w:val="28"/>
          <w:szCs w:val="56"/>
          <w:lang w:val="pt-BR"/>
        </w:rPr>
      </w:pPr>
      <w:r>
        <w:rPr>
          <w:rFonts w:eastAsia="" w:cs="" w:cstheme="majorBidi" w:eastAsiaTheme="majorEastAsia"/>
          <w:b/>
          <w:kern w:val="2"/>
          <w:sz w:val="28"/>
          <w:szCs w:val="56"/>
          <w:lang w:val="pt-BR"/>
        </w:rPr>
        <w:t>Monitoria de dados</w:t>
      </w:r>
    </w:p>
    <w:p>
      <w:pPr>
        <w:pStyle w:val="Ttulododocumento"/>
        <w:rPr>
          <w:rFonts w:ascii="Bodoni MT" w:hAnsi="Bodoni MT" w:eastAsia="" w:cs="" w:asciiTheme="majorHAnsi" w:cstheme="majorBidi" w:eastAsiaTheme="majorEastAsia" w:hAnsiTheme="majorHAnsi"/>
          <w:b/>
          <w:b/>
          <w:kern w:val="2"/>
          <w:sz w:val="28"/>
          <w:szCs w:val="56"/>
          <w:lang w:val="pt-BR"/>
        </w:rPr>
      </w:pPr>
      <w:r>
        <w:rPr>
          <w:rFonts w:eastAsia="" w:cs="" w:cstheme="majorBidi" w:eastAsiaTheme="majorEastAsia"/>
          <w:b/>
          <w:kern w:val="2"/>
          <w:sz w:val="28"/>
          <w:szCs w:val="56"/>
          <w:lang w:val="pt-BR"/>
        </w:rPr>
        <w:t>Estruturação de capacitações nos dados da STN</w:t>
      </w:r>
    </w:p>
    <w:p>
      <w:pPr>
        <w:pStyle w:val="Ttulo1"/>
        <w:rPr>
          <w:lang w:val="pt-BR"/>
        </w:rPr>
      </w:pPr>
      <w:r>
        <w:rPr>
          <w:lang w:val="pt-BR" w:bidi="pt-BR"/>
        </w:rPr>
        <w:t>Visão geral do projeto:</w:t>
      </w:r>
    </w:p>
    <w:p>
      <w:pPr>
        <w:pStyle w:val="Normal"/>
        <w:jc w:val="both"/>
        <w:rPr/>
      </w:pPr>
      <w:r>
        <w:rPr>
          <w:lang w:val="pt-BR"/>
        </w:rPr>
        <w:t xml:space="preserve">Com o crescente protagonismo da STN nas discussões fiscais do executivo federal, cada vez mais stakeholders de fora da organização consomem dados produzidos e/ou divulgados pela STN. Entende-se que a quantidade e qualidade do uso desses dados pode vier a ser incrementado com um programa de capacitação sobre todo o processo de formação do dado. </w:t>
      </w:r>
    </w:p>
    <w:p>
      <w:pPr>
        <w:pStyle w:val="Normal"/>
        <w:jc w:val="both"/>
        <w:rPr/>
      </w:pPr>
      <w:r>
        <w:rPr>
          <w:lang w:val="pt-BR"/>
        </w:rPr>
        <w:t xml:space="preserve">O projeto </w:t>
      </w:r>
      <w:r>
        <w:rPr>
          <w:lang w:val="pt-BR"/>
        </w:rPr>
        <w:t>busca incrementar a capacidade de terceiros em analisar os dados produzidos e/ou divulgados pela STN</w:t>
      </w:r>
      <w:r>
        <w:rPr>
          <w:lang w:val="pt-BR"/>
        </w:rPr>
        <w:t xml:space="preserve">. </w:t>
      </w:r>
    </w:p>
    <w:p>
      <w:pPr>
        <w:pStyle w:val="Normal"/>
        <w:jc w:val="both"/>
        <w:rPr/>
      </w:pPr>
      <w:r>
        <w:rPr>
          <w:rFonts w:eastAsia="" w:cs="" w:ascii="Bodoni MT" w:hAnsi="Bodoni MT" w:asciiTheme="majorHAnsi" w:cstheme="majorBidi" w:eastAsiaTheme="majorEastAsia" w:hAnsiTheme="majorHAnsi"/>
          <w:b/>
          <w:sz w:val="28"/>
          <w:szCs w:val="32"/>
          <w:lang w:val="pt-BR" w:bidi="pt-BR"/>
        </w:rPr>
        <w:t xml:space="preserve">Principal Patrocinador: </w:t>
      </w:r>
      <w:r>
        <w:rPr>
          <w:rFonts w:eastAsia="" w:cs="" w:ascii="Bodoni MT" w:hAnsi="Bodoni MT" w:asciiTheme="majorHAnsi" w:cstheme="majorBidi" w:eastAsiaTheme="majorEastAsia" w:hAnsiTheme="majorHAnsi"/>
          <w:b/>
          <w:sz w:val="28"/>
          <w:szCs w:val="32"/>
          <w:lang w:val="pt-BR" w:bidi="pt-BR"/>
        </w:rPr>
        <w:t>Gabinete da STN</w:t>
      </w:r>
    </w:p>
    <w:p>
      <w:pPr>
        <w:pStyle w:val="Ttulo1"/>
        <w:rPr>
          <w:lang w:val="pt-BR"/>
        </w:rPr>
      </w:pPr>
      <w:r>
        <w:rPr>
          <w:lang w:val="pt-BR" w:bidi="pt-BR"/>
        </w:rPr>
        <w:t>Objetivos: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Capacitar terceiros nos dados produzidos e/ou divulgados pela STN</w:t>
      </w:r>
    </w:p>
    <w:p>
      <w:pPr>
        <w:pStyle w:val="ListBullet"/>
        <w:numPr>
          <w:ilvl w:val="0"/>
          <w:numId w:val="0"/>
        </w:numPr>
        <w:ind w:left="1080" w:hanging="0"/>
        <w:rPr/>
      </w:pPr>
      <w:r>
        <w:rPr>
          <w:lang w:val="pt-BR"/>
        </w:rPr>
        <w:t xml:space="preserve"> </w:t>
      </w:r>
    </w:p>
    <w:p>
      <w:pPr>
        <w:pStyle w:val="Ttulo1"/>
        <w:rPr>
          <w:lang w:val="pt-BR"/>
        </w:rPr>
      </w:pPr>
      <w:r>
        <w:rPr>
          <w:lang w:val="pt-BR" w:bidi="pt-BR"/>
        </w:rPr>
        <w:t>Requisitos/Tarefa(s):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Levantar bases de dados geridas pela STN e que sejam objetos de demanda constante por terceiros;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Levantar elementos que possam facilitar ou dificultar capacitações sobre as bases de dados selecionadas;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 xml:space="preserve">Preparar </w:t>
      </w:r>
      <w:r>
        <w:rPr>
          <w:sz w:val="22"/>
          <w:lang w:val="pt-BR"/>
        </w:rPr>
        <w:t>capacitação piloto</w:t>
      </w:r>
      <w:r>
        <w:rPr>
          <w:lang w:val="pt-BR"/>
        </w:rPr>
        <w:t>;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Viabilizar acordo com parceiros que possam intermediar as capacitações com demandantes mais relevantes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sz w:val="22"/>
          <w:lang w:val="pt-BR"/>
        </w:rPr>
        <w:t>Executar capacitação piloto</w:t>
      </w:r>
      <w:r>
        <w:rPr>
          <w:lang w:val="pt-BR"/>
        </w:rPr>
        <w:t>;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Avaliar os resultados da capacitação piloto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Replicar as capacitações observando o que se aprendeu na capacitação piloto</w:t>
      </w:r>
    </w:p>
    <w:p>
      <w:pPr>
        <w:pStyle w:val="ListBullet"/>
        <w:numPr>
          <w:ilvl w:val="0"/>
          <w:numId w:val="0"/>
        </w:numPr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rFonts w:ascii="Bodoni MT" w:hAnsi="Bodoni MT" w:eastAsia="" w:cs="" w:asciiTheme="majorHAnsi" w:cstheme="majorBidi" w:eastAsiaTheme="majorEastAsia" w:hAnsiTheme="majorHAnsi"/>
          <w:b/>
          <w:b/>
          <w:sz w:val="28"/>
          <w:szCs w:val="32"/>
          <w:lang w:val="pt-BR" w:bidi="pt-BR"/>
        </w:rPr>
      </w:pPr>
      <w:r>
        <w:rPr>
          <w:rFonts w:eastAsia="" w:cs="" w:ascii="Bodoni MT" w:hAnsi="Bodoni MT" w:asciiTheme="majorHAnsi" w:cstheme="majorBidi" w:eastAsiaTheme="majorEastAsia" w:hAnsiTheme="majorHAnsi"/>
          <w:b/>
          <w:sz w:val="28"/>
          <w:szCs w:val="32"/>
          <w:lang w:val="pt-BR" w:bidi="pt-BR"/>
        </w:rPr>
        <w:t>Desafios e Alternativas / Soluções: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Desafios: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Bases de dados mal estruturadas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Bases de dados desatualizadas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Bases de dados pesadas que diminuam a possibilidade de consumo por terceiros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Estruturas de consumo de dados que não estão completamente sob a gestão da STN</w:t>
      </w:r>
    </w:p>
    <w:p>
      <w:pPr>
        <w:pStyle w:val="ListBullet"/>
        <w:numPr>
          <w:ilvl w:val="0"/>
          <w:numId w:val="1"/>
        </w:numPr>
        <w:ind w:left="720" w:hanging="0"/>
        <w:rPr/>
      </w:pPr>
      <w:r>
        <w:rPr>
          <w:lang w:val="pt-BR"/>
        </w:rPr>
        <w:t>Agenda de capacitação deve conciliar com a dos demandantes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Alternativas: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1"/>
        </w:numPr>
        <w:ind w:left="720" w:hanging="0"/>
        <w:rPr>
          <w:sz w:val="22"/>
          <w:lang w:val="pt-BR"/>
        </w:rPr>
      </w:pPr>
      <w:r>
        <w:rPr>
          <w:sz w:val="22"/>
          <w:lang w:val="pt-BR"/>
        </w:rPr>
        <w:t>Os desafios levantados acima podem ser coordenados com ações de priorização de ações. Assim, por exemplo, deve-se priorizar as bases de dados que já tenham boa estrutura de consumo e que tenham apelo conjugado com o dos demantes.</w:t>
      </w:r>
    </w:p>
    <w:p>
      <w:pPr>
        <w:pStyle w:val="ListBullet"/>
        <w:numPr>
          <w:ilvl w:val="0"/>
          <w:numId w:val="0"/>
        </w:numPr>
        <w:ind w:left="1080" w:hanging="0"/>
        <w:rPr>
          <w:sz w:val="22"/>
          <w:lang w:val="pt-BR"/>
        </w:rPr>
      </w:pPr>
      <w:r>
        <w:rPr>
          <w:sz w:val="22"/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  <w:t>Soluções</w:t>
      </w:r>
    </w:p>
    <w:p>
      <w:pPr>
        <w:pStyle w:val="ListBullet"/>
        <w:numPr>
          <w:ilvl w:val="0"/>
          <w:numId w:val="0"/>
        </w:numPr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Bullet"/>
        <w:numPr>
          <w:ilvl w:val="0"/>
          <w:numId w:val="1"/>
        </w:numPr>
        <w:ind w:left="720" w:hanging="0"/>
        <w:rPr>
          <w:sz w:val="22"/>
          <w:lang w:val="pt-BR"/>
        </w:rPr>
      </w:pPr>
      <w:r>
        <w:rPr>
          <w:sz w:val="22"/>
          <w:lang w:val="pt-BR"/>
        </w:rPr>
        <w:t>Projetos paralelos devem ser feitos com os gestores dos dados de forma a melhorar a qualidade e contemporaneidade do dado de forma que dados importantes para consumo externo sejam viabilizados.</w:t>
      </w:r>
    </w:p>
    <w:p>
      <w:pPr>
        <w:pStyle w:val="ListBullet"/>
        <w:numPr>
          <w:ilvl w:val="0"/>
          <w:numId w:val="0"/>
        </w:numPr>
        <w:ind w:left="720" w:hanging="360"/>
        <w:rPr>
          <w:lang w:val="pt-BR"/>
        </w:rPr>
      </w:pPr>
      <w:r>
        <w:rPr>
          <w:lang w:val="pt-BR"/>
        </w:rPr>
      </w:r>
    </w:p>
    <w:p>
      <w:pPr>
        <w:pStyle w:val="Ttulo1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Prazo:</w:t>
      </w:r>
    </w:p>
    <w:p>
      <w:pPr>
        <w:pStyle w:val="Normal"/>
        <w:rPr/>
      </w:pPr>
      <w:r>
        <w:rPr>
          <w:lang w:val="pt-BR"/>
        </w:rPr>
        <w:t>O mais provável é que o projeto piloto seja sobre bases de dados que tenham relações com as eleições municipais de 2020, já que um dos principais públicos-alvos para esse projeto são os jornalistas. Nesse sentido, é importante que o projeto piloto seja concluído até Junho de 2020 para que haja conciliação com a construção de pautas.</w:t>
      </w:r>
    </w:p>
    <w:p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00" w:type="pct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9"/>
        <w:gridCol w:w="2751"/>
        <w:gridCol w:w="1572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833C0B" w:themeFill="accent2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left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val="pt-BR" w:eastAsia="ja-JP" w:bidi="pt-BR"/>
              </w:rPr>
              <w:t>Tarefa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525252" w:themeFill="accent3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val="pt-BR" w:eastAsia="ja-JP" w:bidi="pt-BR"/>
              </w:rPr>
              <w:t>Data de Conclusão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525252" w:themeFill="accent3" w:themeFillShade="80" w:val="clear"/>
            <w:vAlign w:val="bottom"/>
          </w:tcPr>
          <w:p>
            <w:pPr>
              <w:pStyle w:val="Normal"/>
              <w:spacing w:lineRule="auto" w:line="240" w:before="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eastAsia="" w:asciiTheme="majorHAnsi" w:eastAsiaTheme="minorEastAsia" w:hAnsiTheme="majorHAnsi"/>
                <w:b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 w:ascii="Bodoni MT" w:hAnsi="Bodoni MT"/>
                <w:b/>
                <w:caps/>
                <w:color w:val="FFFFFF" w:themeColor="background1" w:themeTint="a6"/>
                <w:sz w:val="22"/>
                <w:szCs w:val="22"/>
                <w:lang w:eastAsia="ja-JP"/>
              </w:rPr>
              <w:t>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Definir Capacitação piloto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17/03/20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highlight w:val="yellow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Planejar capacitação piloto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24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/0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3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/20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highlight w:val="yellow"/>
                <w:lang w:eastAsia="ja-JP"/>
              </w:rPr>
              <w:t>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Acertar com as partes interessadas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31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/0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3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/20</w:t>
            </w: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highlight w:val="yellow"/>
                <w:lang w:eastAsia="ja-JP"/>
              </w:rPr>
              <w:t>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Elaborar a capacitação piloto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15/05/2020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88" w:before="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left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Executar a capacitação piloto</w:t>
            </w:r>
          </w:p>
        </w:tc>
        <w:tc>
          <w:tcPr>
            <w:tcW w:w="27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30/06/2020</w:t>
            </w:r>
          </w:p>
        </w:tc>
        <w:tc>
          <w:tcPr>
            <w:tcW w:w="15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88" w:before="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</w:pPr>
            <w:r>
              <w:rPr>
                <w:rFonts w:eastAsia="" w:eastAsiaTheme="minorEastAsia"/>
                <w:color w:val="595959" w:themeColor="text1" w:themeTint="a6"/>
                <w:sz w:val="22"/>
                <w:szCs w:val="22"/>
                <w:lang w:eastAsia="ja-JP"/>
              </w:rPr>
              <w:t>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doni M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74aa1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74aa1"/>
    <w:pPr>
      <w:keepNext w:val="true"/>
      <w:keepLines/>
      <w:spacing w:before="0" w:after="160"/>
      <w:contextualSpacing/>
      <w:outlineLvl w:val="0"/>
    </w:pPr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spacing w:before="0" w:after="160"/>
      <w:contextualSpacing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spacing w:before="0" w:after="160"/>
      <w:contextualSpacing/>
      <w:outlineLvl w:val="2"/>
    </w:pPr>
    <w:rPr>
      <w:rFonts w:eastAsia="" w:cs="" w:cstheme="majorBidi" w:eastAsiaTheme="majorEastAsia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"/>
    <w:qFormat/>
    <w:rsid w:val="00874aa1"/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74aa1"/>
    <w:rPr>
      <w:rFonts w:ascii="Bodoni MT" w:hAnsi="Bodoni MT" w:eastAsia="" w:cs="" w:asciiTheme="majorHAnsi" w:cstheme="majorBidi" w:eastAsiaTheme="majorEastAsia" w:hAnsiTheme="majorHAnsi"/>
      <w:b/>
      <w:sz w:val="28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874aa1"/>
    <w:rPr>
      <w:rFonts w:eastAsia="" w:cs="" w:cstheme="majorBidi" w:eastAsiaTheme="majorEastAsia"/>
      <w:b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874aa1"/>
    <w:rPr>
      <w:rFonts w:eastAsia="" w:cs="" w:cstheme="majorBidi" w:eastAsiaTheme="majorEastAsia"/>
      <w:b/>
      <w:i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4aa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74aa1"/>
    <w:rPr/>
  </w:style>
  <w:style w:type="character" w:styleId="PlaceholderText">
    <w:name w:val="Placeholder Text"/>
    <w:basedOn w:val="DefaultParagraphFont"/>
    <w:uiPriority w:val="99"/>
    <w:semiHidden/>
    <w:qFormat/>
    <w:rsid w:val="00874aa1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uiPriority w:val="11"/>
    <w:qFormat/>
    <w:rsid w:val="00874aa1"/>
    <w:pPr>
      <w:spacing w:before="0" w:after="160"/>
      <w:ind w:left="720" w:hanging="0"/>
      <w:contextualSpacing/>
    </w:pPr>
    <w:rPr>
      <w:sz w:val="22"/>
    </w:rPr>
  </w:style>
  <w:style w:type="paragraph" w:styleId="Ttulododocumento">
    <w:name w:val="Title"/>
    <w:basedOn w:val="Normal"/>
    <w:next w:val="Normal"/>
    <w:link w:val="TtuloChar"/>
    <w:uiPriority w:val="1"/>
    <w:qFormat/>
    <w:rsid w:val="00874aa1"/>
    <w:pPr>
      <w:spacing w:lineRule="auto" w:line="360" w:before="0" w:after="600"/>
      <w:contextualSpacing/>
      <w:jc w:val="center"/>
    </w:pPr>
    <w:rPr>
      <w:rFonts w:ascii="Bodoni MT" w:hAnsi="Bodoni MT" w:eastAsia="" w:cs="" w:asciiTheme="majorHAnsi" w:cstheme="majorBidi" w:eastAsiaTheme="majorEastAsia" w:hAnsiTheme="majorHAnsi"/>
      <w:b/>
      <w:kern w:val="2"/>
      <w:sz w:val="28"/>
      <w:szCs w:val="5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Recuado" w:customStyle="1">
    <w:name w:val="Normal - Recuado"/>
    <w:basedOn w:val="Normal"/>
    <w:uiPriority w:val="12"/>
    <w:qFormat/>
    <w:rsid w:val="00874a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lang w:eastAsia="ja-JP"/>
      <w:color w:val="595959" w:themeColor="text1" w:themeTint="a6"/>
      <w:sz w:val="22"/>
      <w:szCs w:val="22"/>
    </w:rPr>
    <w:tblPr>
      <w:tblStyleRowBandSize w:val="1"/>
      <w:tblBorders>
        <w:top w:val="single" w:color="A6A6A6" w:themeColor="background1" w:sz="4" w:space="0"/>
        <w:left w:val="single" w:color="A6A6A6" w:themeColor="background1" w:sz="4" w:space="0"/>
        <w:bottom w:val="single" w:color="A6A6A6" w:themeColor="background1" w:sz="4" w:space="0"/>
        <w:right w:val="single" w:color="A6A6A6" w:themeColor="background1" w:sz="4" w:space="0"/>
        <w:insideH w:val="single" w:color="A6A6A6" w:themeColor="background1" w:sz="4" w:space="0"/>
        <w:insideV w:val="single" w:color="A6A6A6" w:themeColor="background1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nil"/>
          <w:right w:val="single" w:color="7F7F7F" w:themeColor="text1" w:sz="4" w:space="0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  <w:tblPr/>
    </w:tblStylePr>
    <w:tblStylePr w:type="band1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736596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736596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736596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736596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736596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0843AC"/>
    <w:rsid w:val="001572AF"/>
    <w:rsid w:val="00355AD2"/>
    <w:rsid w:val="003C0C0E"/>
    <w:rsid w:val="005263BB"/>
    <w:rsid w:val="00736596"/>
    <w:rsid w:val="00D817ED"/>
    <w:rsid w:val="00E3046F"/>
    <w:rsid w:val="00E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  <w:style w:type="paragraph" w:customStyle="1" w:styleId="AD43EF638AA14505A54740A4BFDA78BA">
    <w:name w:val="AD43EF638AA14505A54740A4BFDA78BA"/>
    <w:rsid w:val="001572AF"/>
  </w:style>
  <w:style w:type="paragraph" w:customStyle="1" w:styleId="F9254C2D200C49CB825AA56F1A651E3D">
    <w:name w:val="F9254C2D200C49CB825AA56F1A651E3D"/>
    <w:rsid w:val="00157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250</TotalTime>
  <Application>LibreOffice/6.3.4.2$Windows_X86_64 LibreOffice_project/60da17e045e08f1793c57c00ba83cdfce946d0aa</Application>
  <Pages>2</Pages>
  <Words>399</Words>
  <Characters>2190</Characters>
  <CharactersWithSpaces>2528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2020-03-10T17:07:00Z</dcterms:created>
  <dc:creator>Lucas Gurgel Leite</dc:creator>
  <dc:description/>
  <dc:language>pt-BR</dc:language>
  <cp:lastModifiedBy/>
  <dcterms:modified xsi:type="dcterms:W3CDTF">2020-03-13T12:10:27Z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0x010100DEEA25CC0A0AC24199CDC46C25B8B0BC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gaylemadeira@GAYLEMADEIRDE85</vt:lpwstr>
  </property>
  <property fmtid="{D5CDD505-2E9C-101B-9397-08002B2CF9AE}" pid="12" name="MSIP_Label_f42aa342-8706-4288-bd11-ebb85995028c_SetDate">
    <vt:lpwstr>2018-08-18T06:30:57.0648374Z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