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pPr>
      <w:r w:rsidDel="00000000" w:rsidR="00000000" w:rsidRPr="00000000">
        <w:rPr>
          <w:rFonts w:ascii="Aptos" w:cs="Aptos" w:eastAsia="Aptos" w:hAnsi="Aptos"/>
          <w:b w:val="1"/>
          <w:bCs w:val="1"/>
          <w:color w:val="008c95"/>
          <w:sz w:val="21"/>
          <w:szCs w:val="21"/>
          <w:rtl w:val="0"/>
        </w:rPr>
        <w:t xml:space="preserve">JOURNÉE NATIONALE DE LA RÉSILIENCE 2026</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rFonts w:ascii="Play" w:cs="Play" w:eastAsia="Play" w:hAnsi="Play"/>
          <w:b w:val="1"/>
          <w:bCs w:val="1"/>
          <w:color w:val="102a43"/>
          <w:sz w:val="54"/>
          <w:szCs w:val="54"/>
          <w:rtl w:val="0"/>
        </w:rPr>
        <w:t xml:space="preserve">Mon Plan Résilience 976</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Fonts w:ascii="Play" w:cs="Play" w:eastAsia="Play" w:hAnsi="Play"/>
          <w:b w:val="1"/>
          <w:bCs w:val="1"/>
          <w:color w:val="008c95"/>
          <w:sz w:val="32"/>
          <w:szCs w:val="32"/>
          <w:rtl w:val="0"/>
        </w:rPr>
        <w:t xml:space="preserve">Démonstrateur fonctionnel et captures du prototype</w:t>
      </w:r>
      <w:r w:rsidDel="00000000" w:rsidR="00000000" w:rsidRPr="00000000">
        <w:rPr>
          <w:rtl w:val="0"/>
        </w:rPr>
      </w:r>
    </w:p>
    <w:tbl>
      <w:tblPr>
        <w:tblStyle w:val="Table1"/>
        <w:tblW w:w="9504.0" w:type="dxa"/>
        <w:jc w:val="center"/>
        <w:tblLayout w:type="fixed"/>
        <w:tblLook w:val="0400"/>
      </w:tblPr>
      <w:tblGrid>
        <w:gridCol w:w="3168"/>
        <w:gridCol w:w="3168"/>
        <w:gridCol w:w="3168"/>
        <w:tblGridChange w:id="0">
          <w:tblGrid>
            <w:gridCol w:w="3168"/>
            <w:gridCol w:w="3168"/>
            <w:gridCol w:w="3168"/>
          </w:tblGrid>
        </w:tblGridChange>
      </w:tblGrid>
      <w:tr>
        <w:trPr>
          <w:cantSplit w:val="0"/>
          <w:tblHeader w:val="0"/>
        </w:trPr>
        <w:tc>
          <w:tcPr>
            <w:tcBorders>
              <w:top w:color="cfe1e8" w:space="0" w:sz="6" w:val="single"/>
              <w:left w:color="cfe1e8" w:space="0" w:sz="6" w:val="single"/>
              <w:bottom w:color="cfe1e8" w:space="0" w:sz="6" w:val="single"/>
              <w:right w:color="cfe1e8" w:space="0" w:sz="6" w:val="single"/>
            </w:tcBorders>
            <w:shd w:fill="eaf7f9" w:val="clear"/>
          </w:tcPr>
          <w:p w:rsidR="00000000" w:rsidDel="00000000" w:rsidP="00000000" w:rsidRDefault="00000000" w:rsidRPr="00000000" w14:paraId="00000004">
            <w:pPr>
              <w:jc w:val="center"/>
              <w:rPr/>
            </w:pPr>
            <w:r w:rsidDel="00000000" w:rsidR="00000000" w:rsidRPr="00000000">
              <w:rPr>
                <w:rFonts w:ascii="Aptos" w:cs="Aptos" w:eastAsia="Aptos" w:hAnsi="Aptos"/>
                <w:b w:val="1"/>
                <w:bCs w:val="1"/>
                <w:color w:val="008c95"/>
                <w:sz w:val="17"/>
                <w:szCs w:val="17"/>
                <w:rtl w:val="0"/>
              </w:rPr>
              <w:t xml:space="preserve">Porteur</w:t>
              <w:br w:type="textWrapping"/>
            </w:r>
            <w:r w:rsidDel="00000000" w:rsidR="00000000" w:rsidRPr="00000000">
              <w:rPr>
                <w:rFonts w:ascii="Aptos" w:cs="Aptos" w:eastAsia="Aptos" w:hAnsi="Aptos"/>
                <w:b w:val="1"/>
                <w:bCs w:val="1"/>
                <w:color w:val="102a43"/>
                <w:sz w:val="20"/>
                <w:szCs w:val="20"/>
                <w:rtl w:val="0"/>
              </w:rPr>
              <w:t xml:space="preserve">GT SAS</w:t>
            </w:r>
            <w:r w:rsidDel="00000000" w:rsidR="00000000" w:rsidRPr="00000000">
              <w:rPr>
                <w:rtl w:val="0"/>
              </w:rPr>
            </w:r>
          </w:p>
        </w:tc>
        <w:tc>
          <w:tcPr>
            <w:tcBorders>
              <w:top w:color="cfe1e8" w:space="0" w:sz="6" w:val="single"/>
              <w:left w:color="cfe1e8" w:space="0" w:sz="6" w:val="single"/>
              <w:bottom w:color="cfe1e8" w:space="0" w:sz="6" w:val="single"/>
              <w:right w:color="cfe1e8" w:space="0" w:sz="6" w:val="single"/>
            </w:tcBorders>
            <w:shd w:fill="eaf7f9" w:val="clear"/>
          </w:tcPr>
          <w:p w:rsidR="00000000" w:rsidDel="00000000" w:rsidP="00000000" w:rsidRDefault="00000000" w:rsidRPr="00000000" w14:paraId="00000005">
            <w:pPr>
              <w:jc w:val="center"/>
              <w:rPr/>
            </w:pPr>
            <w:r w:rsidDel="00000000" w:rsidR="00000000" w:rsidRPr="00000000">
              <w:rPr>
                <w:rFonts w:ascii="Aptos" w:cs="Aptos" w:eastAsia="Aptos" w:hAnsi="Aptos"/>
                <w:b w:val="1"/>
                <w:bCs w:val="1"/>
                <w:color w:val="008c95"/>
                <w:sz w:val="17"/>
                <w:szCs w:val="17"/>
                <w:rtl w:val="0"/>
              </w:rPr>
              <w:t xml:space="preserve">Territoire</w:t>
              <w:br w:type="textWrapping"/>
            </w:r>
            <w:r w:rsidDel="00000000" w:rsidR="00000000" w:rsidRPr="00000000">
              <w:rPr>
                <w:rFonts w:ascii="Aptos" w:cs="Aptos" w:eastAsia="Aptos" w:hAnsi="Aptos"/>
                <w:b w:val="1"/>
                <w:bCs w:val="1"/>
                <w:color w:val="102a43"/>
                <w:sz w:val="20"/>
                <w:szCs w:val="20"/>
                <w:rtl w:val="0"/>
              </w:rPr>
              <w:t xml:space="preserve">Mayotte (976)</w:t>
            </w:r>
            <w:r w:rsidDel="00000000" w:rsidR="00000000" w:rsidRPr="00000000">
              <w:rPr>
                <w:rtl w:val="0"/>
              </w:rPr>
            </w:r>
          </w:p>
        </w:tc>
        <w:tc>
          <w:tcPr>
            <w:tcBorders>
              <w:top w:color="cfe1e8" w:space="0" w:sz="6" w:val="single"/>
              <w:left w:color="cfe1e8" w:space="0" w:sz="6" w:val="single"/>
              <w:bottom w:color="cfe1e8" w:space="0" w:sz="6" w:val="single"/>
              <w:right w:color="cfe1e8" w:space="0" w:sz="6" w:val="single"/>
            </w:tcBorders>
            <w:shd w:fill="eaf7f9" w:val="clear"/>
          </w:tcPr>
          <w:p w:rsidR="00000000" w:rsidDel="00000000" w:rsidP="00000000" w:rsidRDefault="00000000" w:rsidRPr="00000000" w14:paraId="00000006">
            <w:pPr>
              <w:jc w:val="center"/>
              <w:rPr/>
            </w:pPr>
            <w:r w:rsidDel="00000000" w:rsidR="00000000" w:rsidRPr="00000000">
              <w:rPr>
                <w:rFonts w:ascii="Aptos" w:cs="Aptos" w:eastAsia="Aptos" w:hAnsi="Aptos"/>
                <w:b w:val="1"/>
                <w:bCs w:val="1"/>
                <w:color w:val="008c95"/>
                <w:sz w:val="17"/>
                <w:szCs w:val="17"/>
                <w:rtl w:val="0"/>
              </w:rPr>
              <w:t xml:space="preserve">Accès</w:t>
              <w:br w:type="textWrapping"/>
            </w:r>
            <w:r w:rsidDel="00000000" w:rsidR="00000000" w:rsidRPr="00000000">
              <w:rPr>
                <w:rFonts w:ascii="Aptos" w:cs="Aptos" w:eastAsia="Aptos" w:hAnsi="Aptos"/>
                <w:b w:val="1"/>
                <w:bCs w:val="1"/>
                <w:color w:val="102a43"/>
                <w:sz w:val="20"/>
                <w:szCs w:val="20"/>
                <w:rtl w:val="0"/>
              </w:rPr>
              <w:t xml:space="preserve">Gratuit, sans compte</w:t>
            </w:r>
            <w:r w:rsidDel="00000000" w:rsidR="00000000" w:rsidRPr="00000000">
              <w:rPr>
                <w:rtl w:val="0"/>
              </w:rPr>
            </w:r>
          </w:p>
        </w:tc>
      </w:tr>
    </w:tbl>
    <w:p w:rsidR="00000000" w:rsidDel="00000000" w:rsidP="00000000" w:rsidRDefault="00000000" w:rsidRPr="00000000" w14:paraId="00000007">
      <w:pPr>
        <w:spacing w:after="40" w:lineRule="auto"/>
        <w:rPr/>
      </w:pP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drawing>
          <wp:inline distB="0" distT="0" distL="114300" distR="114300">
            <wp:extent cx="6080760" cy="4893112"/>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080760" cy="4893112"/>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140" w:lineRule="auto"/>
        <w:jc w:val="center"/>
        <w:rPr/>
      </w:pPr>
      <w:r w:rsidDel="00000000" w:rsidR="00000000" w:rsidRPr="00000000">
        <w:rPr>
          <w:rFonts w:ascii="Aptos" w:cs="Aptos" w:eastAsia="Aptos" w:hAnsi="Aptos"/>
          <w:i w:val="1"/>
          <w:iCs w:val="1"/>
          <w:color w:val="52677a"/>
          <w:sz w:val="17"/>
          <w:szCs w:val="17"/>
          <w:rtl w:val="0"/>
        </w:rPr>
        <w:t xml:space="preserve">Capture 1 - Page d'accueil du démonstrateur, version consultée le 4 août 2026. Les libellés de statut éditorial seront harmonisés avant le dépôt définitif.</w:t>
      </w:r>
      <w:r w:rsidDel="00000000" w:rsidR="00000000" w:rsidRPr="00000000">
        <w:rPr>
          <w:rtl w:val="0"/>
        </w:rPr>
      </w:r>
    </w:p>
    <w:tbl>
      <w:tblPr>
        <w:tblStyle w:val="Table2"/>
        <w:tblW w:w="9504.0" w:type="dxa"/>
        <w:jc w:val="center"/>
        <w:tblLayout w:type="fixed"/>
        <w:tblLook w:val="0400"/>
      </w:tblPr>
      <w:tblGrid>
        <w:gridCol w:w="1800"/>
        <w:gridCol w:w="7704"/>
        <w:tblGridChange w:id="0">
          <w:tblGrid>
            <w:gridCol w:w="1800"/>
            <w:gridCol w:w="7704"/>
          </w:tblGrid>
        </w:tblGridChange>
      </w:tblGrid>
      <w:tr>
        <w:trPr>
          <w:cantSplit w:val="0"/>
          <w:tblHeader w:val="0"/>
        </w:trPr>
        <w:tc>
          <w:tcPr>
            <w:tcBorders>
              <w:top w:color="cfe1e8" w:space="0" w:sz="6" w:val="single"/>
              <w:left w:color="cfe1e8" w:space="0" w:sz="6" w:val="single"/>
              <w:bottom w:color="cfe1e8" w:space="0" w:sz="6" w:val="single"/>
              <w:right w:color="cfe1e8" w:space="0" w:sz="6" w:val="single"/>
            </w:tcBorders>
            <w:shd w:fill="f4fafb" w:val="clear"/>
          </w:tcPr>
          <w:p w:rsidR="00000000" w:rsidDel="00000000" w:rsidP="00000000" w:rsidRDefault="00000000" w:rsidRPr="00000000" w14:paraId="0000000A">
            <w:pPr>
              <w:jc w:val="center"/>
              <w:rPr/>
            </w:pPr>
            <w:r w:rsidDel="00000000" w:rsidR="00000000" w:rsidRPr="00000000">
              <w:rPr/>
              <w:drawing>
                <wp:inline distB="0" distT="0" distL="114300" distR="114300">
                  <wp:extent cx="822960" cy="82296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822960" cy="822960"/>
                          </a:xfrm>
                          <a:prstGeom prst="rect"/>
                          <a:ln/>
                        </pic:spPr>
                      </pic:pic>
                    </a:graphicData>
                  </a:graphic>
                </wp:inline>
              </w:drawing>
            </w:r>
            <w:r w:rsidDel="00000000" w:rsidR="00000000" w:rsidRPr="00000000">
              <w:rPr>
                <w:rtl w:val="0"/>
              </w:rPr>
            </w:r>
          </w:p>
        </w:tc>
        <w:tc>
          <w:tcPr>
            <w:tcBorders>
              <w:top w:color="cfe1e8" w:space="0" w:sz="6" w:val="single"/>
              <w:left w:color="cfe1e8" w:space="0" w:sz="6" w:val="single"/>
              <w:bottom w:color="cfe1e8" w:space="0" w:sz="6" w:val="single"/>
              <w:right w:color="cfe1e8" w:space="0" w:sz="6" w:val="single"/>
            </w:tcBorders>
            <w:shd w:fill="f4fafb" w:val="clear"/>
          </w:tcPr>
          <w:p w:rsidR="00000000" w:rsidDel="00000000" w:rsidP="00000000" w:rsidRDefault="00000000" w:rsidRPr="00000000" w14:paraId="0000000B">
            <w:pPr>
              <w:rPr/>
            </w:pPr>
            <w:r w:rsidDel="00000000" w:rsidR="00000000" w:rsidRPr="00000000">
              <w:rPr>
                <w:rFonts w:ascii="Aptos" w:cs="Aptos" w:eastAsia="Aptos" w:hAnsi="Aptos"/>
                <w:b w:val="1"/>
                <w:bCs w:val="1"/>
                <w:color w:val="102a43"/>
                <w:sz w:val="21"/>
                <w:szCs w:val="21"/>
                <w:rtl w:val="0"/>
              </w:rPr>
              <w:t xml:space="preserve">Accéder au prototype</w:t>
              <w:br w:type="textWrapping"/>
            </w:r>
            <w:r w:rsidDel="00000000" w:rsidR="00000000" w:rsidRPr="00000000">
              <w:rPr>
                <w:rFonts w:ascii="Aptos" w:cs="Aptos" w:eastAsia="Aptos" w:hAnsi="Aptos"/>
                <w:b w:val="1"/>
                <w:bCs w:val="1"/>
                <w:color w:val="008c95"/>
                <w:sz w:val="20"/>
                <w:szCs w:val="20"/>
                <w:rtl w:val="0"/>
              </w:rPr>
              <w:t xml:space="preserve">https://resilience-976.netlify.app/</w:t>
              <w:br w:type="textWrapping"/>
            </w:r>
            <w:r w:rsidDel="00000000" w:rsidR="00000000" w:rsidRPr="00000000">
              <w:rPr>
                <w:rFonts w:ascii="Aptos" w:cs="Aptos" w:eastAsia="Aptos" w:hAnsi="Aptos"/>
                <w:color w:val="52677a"/>
                <w:sz w:val="19"/>
                <w:szCs w:val="19"/>
                <w:rtl w:val="0"/>
              </w:rPr>
              <w:t xml:space="preserve">Le démonstrateur permet d’apprécier l’ergonomie, l’enchaînement du diagnostic et les livrables proposés à l’utilisateur.</w:t>
            </w:r>
            <w:r w:rsidDel="00000000" w:rsidR="00000000" w:rsidRPr="00000000">
              <w:rPr>
                <w:rtl w:val="0"/>
              </w:rPr>
            </w:r>
          </w:p>
        </w:tc>
      </w:tr>
    </w:tbl>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keepNext w:val="1"/>
        <w:spacing w:after="60" w:before="0" w:lineRule="auto"/>
        <w:rPr/>
      </w:pPr>
      <w:r w:rsidDel="00000000" w:rsidR="00000000" w:rsidRPr="00000000">
        <w:rPr>
          <w:rFonts w:ascii="Aptos" w:cs="Aptos" w:eastAsia="Aptos" w:hAnsi="Aptos"/>
          <w:b w:val="1"/>
          <w:bCs w:val="1"/>
          <w:color w:val="008c95"/>
          <w:sz w:val="36"/>
          <w:szCs w:val="36"/>
          <w:rtl w:val="0"/>
        </w:rPr>
        <w:t xml:space="preserve">1. </w:t>
      </w:r>
      <w:r w:rsidDel="00000000" w:rsidR="00000000" w:rsidRPr="00000000">
        <w:rPr>
          <w:rFonts w:ascii="Aptos" w:cs="Aptos" w:eastAsia="Aptos" w:hAnsi="Aptos"/>
          <w:b w:val="1"/>
          <w:bCs w:val="1"/>
          <w:color w:val="102a43"/>
          <w:sz w:val="36"/>
          <w:szCs w:val="36"/>
          <w:rtl w:val="0"/>
        </w:rPr>
        <w:t xml:space="preserve">Objet de cette annexe</w:t>
      </w:r>
      <w:r w:rsidDel="00000000" w:rsidR="00000000" w:rsidRPr="00000000">
        <w:rPr>
          <w:rtl w:val="0"/>
        </w:rPr>
      </w:r>
    </w:p>
    <w:p w:rsidR="00000000" w:rsidDel="00000000" w:rsidP="00000000" w:rsidRDefault="00000000" w:rsidRPr="00000000" w14:paraId="0000000E">
      <w:pPr>
        <w:keepNext w:val="1"/>
        <w:spacing w:after="160" w:lineRule="auto"/>
        <w:rPr/>
      </w:pPr>
      <w:r w:rsidDel="00000000" w:rsidR="00000000" w:rsidRPr="00000000">
        <w:rPr>
          <w:rFonts w:ascii="Aptos" w:cs="Aptos" w:eastAsia="Aptos" w:hAnsi="Aptos"/>
          <w:i w:val="1"/>
          <w:iCs w:val="1"/>
          <w:color w:val="52677a"/>
          <w:sz w:val="20"/>
          <w:szCs w:val="20"/>
          <w:rtl w:val="0"/>
        </w:rPr>
        <w:t xml:space="preserve">Prouver le caractère concret, avancé et opérationnel du projet.</w:t>
      </w:r>
      <w:r w:rsidDel="00000000" w:rsidR="00000000" w:rsidRPr="00000000">
        <w:rPr>
          <w:rtl w:val="0"/>
        </w:rPr>
      </w:r>
    </w:p>
    <w:p w:rsidR="00000000" w:rsidDel="00000000" w:rsidP="00000000" w:rsidRDefault="00000000" w:rsidRPr="00000000" w14:paraId="0000000F">
      <w:pPr>
        <w:spacing w:after="80" w:before="0" w:line="259" w:lineRule="auto"/>
        <w:rPr/>
      </w:pPr>
      <w:r w:rsidDel="00000000" w:rsidR="00000000" w:rsidRPr="00000000">
        <w:rPr>
          <w:rFonts w:ascii="Aptos" w:cs="Aptos" w:eastAsia="Aptos" w:hAnsi="Aptos"/>
          <w:color w:val="102a43"/>
          <w:sz w:val="21"/>
          <w:szCs w:val="21"/>
          <w:rtl w:val="0"/>
        </w:rPr>
        <w:t xml:space="preserve">Cette annexe présente les fonctions déjà visibles dans le démonstrateur de Mon Plan Résilience 976. Elle complète la description saisie dans le formulaire et le dossier principal en donnant à l’instructeur une lecture concrète du parcours utilisateur.</w:t>
      </w:r>
      <w:r w:rsidDel="00000000" w:rsidR="00000000" w:rsidRPr="00000000">
        <w:rPr>
          <w:rtl w:val="0"/>
        </w:rPr>
      </w:r>
    </w:p>
    <w:tbl>
      <w:tblPr>
        <w:tblStyle w:val="Table3"/>
        <w:tblW w:w="9173.0" w:type="dxa"/>
        <w:jc w:val="center"/>
        <w:tblLayout w:type="fixed"/>
        <w:tblLook w:val="0400"/>
      </w:tblPr>
      <w:tblGrid>
        <w:gridCol w:w="173"/>
        <w:gridCol w:w="9000"/>
        <w:tblGridChange w:id="0">
          <w:tblGrid>
            <w:gridCol w:w="173"/>
            <w:gridCol w:w="9000"/>
          </w:tblGrid>
        </w:tblGridChange>
      </w:tblGrid>
      <w:tr>
        <w:trPr>
          <w:cantSplit w:val="0"/>
          <w:tblHeader w:val="0"/>
        </w:trPr>
        <w:tc>
          <w:tcPr>
            <w:tcBorders>
              <w:top w:color="cfe1e8" w:space="0" w:sz="6" w:val="single"/>
              <w:left w:color="cfe1e8" w:space="0" w:sz="6" w:val="single"/>
              <w:bottom w:color="cfe1e8" w:space="0" w:sz="6" w:val="single"/>
              <w:right w:color="cfe1e8" w:space="0" w:sz="6" w:val="single"/>
            </w:tcBorders>
            <w:shd w:fill="008c95" w:val="clear"/>
            <w:vAlign w:val="center"/>
          </w:tcPr>
          <w:p w:rsidR="00000000" w:rsidDel="00000000" w:rsidP="00000000" w:rsidRDefault="00000000" w:rsidRPr="00000000" w14:paraId="00000010">
            <w:pPr>
              <w:rPr/>
            </w:pPr>
            <w:r w:rsidDel="00000000" w:rsidR="00000000" w:rsidRPr="00000000">
              <w:rPr>
                <w:rtl w:val="0"/>
              </w:rPr>
            </w:r>
          </w:p>
        </w:tc>
        <w:tc>
          <w:tcPr>
            <w:tcBorders>
              <w:top w:color="cfe1e8" w:space="0" w:sz="6" w:val="single"/>
              <w:left w:color="cfe1e8" w:space="0" w:sz="6" w:val="single"/>
              <w:bottom w:color="cfe1e8" w:space="0" w:sz="6" w:val="single"/>
              <w:right w:color="cfe1e8" w:space="0" w:sz="6" w:val="single"/>
            </w:tcBorders>
            <w:shd w:fill="f4fafb" w:val="clear"/>
            <w:vAlign w:val="center"/>
          </w:tcPr>
          <w:p w:rsidR="00000000" w:rsidDel="00000000" w:rsidP="00000000" w:rsidRDefault="00000000" w:rsidRPr="00000000" w14:paraId="00000011">
            <w:pPr>
              <w:spacing w:after="20" w:lineRule="auto"/>
              <w:rPr/>
            </w:pPr>
            <w:r w:rsidDel="00000000" w:rsidR="00000000" w:rsidRPr="00000000">
              <w:rPr>
                <w:rFonts w:ascii="Aptos" w:cs="Aptos" w:eastAsia="Aptos" w:hAnsi="Aptos"/>
                <w:b w:val="1"/>
                <w:bCs w:val="1"/>
                <w:color w:val="008c95"/>
                <w:sz w:val="21"/>
                <w:szCs w:val="21"/>
                <w:rtl w:val="0"/>
              </w:rPr>
              <w:t xml:space="preserve">Point clé</w:t>
            </w:r>
            <w:r w:rsidDel="00000000" w:rsidR="00000000" w:rsidRPr="00000000">
              <w:rPr>
                <w:rtl w:val="0"/>
              </w:rPr>
            </w:r>
          </w:p>
          <w:p w:rsidR="00000000" w:rsidDel="00000000" w:rsidP="00000000" w:rsidRDefault="00000000" w:rsidRPr="00000000" w14:paraId="00000012">
            <w:pPr>
              <w:spacing w:after="20" w:line="252.00000000000003" w:lineRule="auto"/>
              <w:rPr/>
            </w:pPr>
            <w:r w:rsidDel="00000000" w:rsidR="00000000" w:rsidRPr="00000000">
              <w:rPr>
                <w:rFonts w:ascii="Aptos" w:cs="Aptos" w:eastAsia="Aptos" w:hAnsi="Aptos"/>
                <w:color w:val="102a43"/>
                <w:sz w:val="19"/>
                <w:szCs w:val="19"/>
                <w:rtl w:val="0"/>
              </w:rPr>
              <w:t xml:space="preserve">Le projet n’est pas une intention abstraite : un prototype navigable est déjà accessible en ligne. Les captures ci-après montrent le socle fonctionnel qui sera consolidé, validé éditorialement et ouvert au public dans le cadre de la JNR 2026.</w:t>
            </w:r>
            <w:r w:rsidDel="00000000" w:rsidR="00000000" w:rsidRPr="00000000">
              <w:rPr>
                <w:rtl w:val="0"/>
              </w:rPr>
            </w:r>
          </w:p>
        </w:tc>
      </w:tr>
    </w:tbl>
    <w:p w:rsidR="00000000" w:rsidDel="00000000" w:rsidP="00000000" w:rsidRDefault="00000000" w:rsidRPr="00000000" w14:paraId="00000013">
      <w:pPr>
        <w:spacing w:after="20" w:lineRule="auto"/>
        <w:rPr/>
      </w:pPr>
      <w:r w:rsidDel="00000000" w:rsidR="00000000" w:rsidRPr="00000000">
        <w:rPr>
          <w:rtl w:val="0"/>
        </w:rPr>
      </w:r>
    </w:p>
    <w:p w:rsidR="00000000" w:rsidDel="00000000" w:rsidP="00000000" w:rsidRDefault="00000000" w:rsidRPr="00000000" w14:paraId="00000014">
      <w:pPr>
        <w:keepNext w:val="1"/>
        <w:spacing w:after="60" w:before="40" w:line="259" w:lineRule="auto"/>
        <w:rPr/>
      </w:pPr>
      <w:r w:rsidDel="00000000" w:rsidR="00000000" w:rsidRPr="00000000">
        <w:rPr>
          <w:rFonts w:ascii="Aptos" w:cs="Aptos" w:eastAsia="Aptos" w:hAnsi="Aptos"/>
          <w:color w:val="102a43"/>
          <w:sz w:val="21"/>
          <w:szCs w:val="21"/>
          <w:rtl w:val="0"/>
        </w:rPr>
        <w:t xml:space="preserve">Le démonstrateur met déjà en évidence :</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un accès gratuit, sans création de compte ;</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un diagnostic structuré en 24 questions et six domaines ;</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un score global et des scores détaillés par domaine ;</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des priorités immédiates et des actions à réaliser sous sept jours ;</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une checklist personnalisable conservée sur l’appareil ;</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un générateur de kit d’urgence adapté à la composition du foyer ;</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des ressources pratiques reliées à des sources institutionnelles ou reconnues ;</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des fonctions d'export et d'attestation depuis l'écran de résultat.</w:t>
      </w:r>
      <w:r w:rsidDel="00000000" w:rsidR="00000000" w:rsidRPr="00000000">
        <w:rPr>
          <w:rtl w:val="0"/>
        </w:rPr>
      </w:r>
    </w:p>
    <w:p w:rsidR="00000000" w:rsidDel="00000000" w:rsidP="00000000" w:rsidRDefault="00000000" w:rsidRPr="00000000" w14:paraId="0000001D">
      <w:pPr>
        <w:pStyle w:val="Heading2"/>
        <w:keepNext w:val="1"/>
        <w:spacing w:after="60" w:before="140" w:line="259" w:lineRule="auto"/>
        <w:rPr/>
      </w:pPr>
      <w:r w:rsidDel="00000000" w:rsidR="00000000" w:rsidRPr="00000000">
        <w:rPr>
          <w:rFonts w:ascii="Aptos" w:cs="Aptos" w:eastAsia="Aptos" w:hAnsi="Aptos"/>
          <w:color w:val="102a43"/>
          <w:sz w:val="21"/>
          <w:szCs w:val="21"/>
          <w:rtl w:val="0"/>
        </w:rPr>
        <w:t xml:space="preserve">Statut éditorial du prototype</w:t>
      </w:r>
      <w:r w:rsidDel="00000000" w:rsidR="00000000" w:rsidRPr="00000000">
        <w:rPr>
          <w:rtl w:val="0"/>
        </w:rPr>
      </w:r>
    </w:p>
    <w:p w:rsidR="00000000" w:rsidDel="00000000" w:rsidP="00000000" w:rsidRDefault="00000000" w:rsidRPr="00000000" w14:paraId="0000001E">
      <w:pPr>
        <w:spacing w:after="80" w:before="0" w:line="259" w:lineRule="auto"/>
        <w:rPr/>
      </w:pPr>
      <w:r w:rsidDel="00000000" w:rsidR="00000000" w:rsidRPr="00000000">
        <w:rPr>
          <w:rFonts w:ascii="Aptos" w:cs="Aptos" w:eastAsia="Aptos" w:hAnsi="Aptos"/>
          <w:color w:val="102a43"/>
          <w:sz w:val="21"/>
          <w:szCs w:val="21"/>
          <w:rtl w:val="0"/>
        </w:rPr>
        <w:t xml:space="preserve">Certaines captures montrent encore la mention « À valider ». Dans la version de dépôt, ce libellé sera remplacé par « En cours de validation éditoriale ». Il identifie les formulations ou quantités qui doivent encore être vérifiées à partir des recommandations institutionnelles applicables ; il ne correspond pas à une indisponibilité technique.</w:t>
      </w:r>
      <w:r w:rsidDel="00000000" w:rsidR="00000000" w:rsidRPr="00000000">
        <w:rPr>
          <w:rtl w:val="0"/>
        </w:rPr>
      </w:r>
    </w:p>
    <w:tbl>
      <w:tblPr>
        <w:tblStyle w:val="Table4"/>
        <w:tblW w:w="9173.0" w:type="dxa"/>
        <w:jc w:val="center"/>
        <w:tblLayout w:type="fixed"/>
        <w:tblLook w:val="0400"/>
      </w:tblPr>
      <w:tblGrid>
        <w:gridCol w:w="173"/>
        <w:gridCol w:w="9000"/>
        <w:tblGridChange w:id="0">
          <w:tblGrid>
            <w:gridCol w:w="173"/>
            <w:gridCol w:w="9000"/>
          </w:tblGrid>
        </w:tblGridChange>
      </w:tblGrid>
      <w:tr>
        <w:trPr>
          <w:cantSplit w:val="0"/>
          <w:tblHeader w:val="0"/>
        </w:trPr>
        <w:tc>
          <w:tcPr>
            <w:tcBorders>
              <w:top w:color="cfe1e8" w:space="0" w:sz="6" w:val="single"/>
              <w:left w:color="cfe1e8" w:space="0" w:sz="6" w:val="single"/>
              <w:bottom w:color="cfe1e8" w:space="0" w:sz="6" w:val="single"/>
              <w:right w:color="cfe1e8" w:space="0" w:sz="6" w:val="single"/>
            </w:tcBorders>
            <w:shd w:fill="ff8b2c" w:val="clear"/>
            <w:vAlign w:val="center"/>
          </w:tcPr>
          <w:p w:rsidR="00000000" w:rsidDel="00000000" w:rsidP="00000000" w:rsidRDefault="00000000" w:rsidRPr="00000000" w14:paraId="0000001F">
            <w:pPr>
              <w:rPr/>
            </w:pPr>
            <w:r w:rsidDel="00000000" w:rsidR="00000000" w:rsidRPr="00000000">
              <w:rPr>
                <w:rtl w:val="0"/>
              </w:rPr>
            </w:r>
          </w:p>
        </w:tc>
        <w:tc>
          <w:tcPr>
            <w:tcBorders>
              <w:top w:color="cfe1e8" w:space="0" w:sz="6" w:val="single"/>
              <w:left w:color="cfe1e8" w:space="0" w:sz="6" w:val="single"/>
              <w:bottom w:color="cfe1e8" w:space="0" w:sz="6" w:val="single"/>
              <w:right w:color="cfe1e8" w:space="0" w:sz="6" w:val="single"/>
            </w:tcBorders>
            <w:shd w:fill="f4fafb" w:val="clear"/>
            <w:vAlign w:val="center"/>
          </w:tcPr>
          <w:p w:rsidR="00000000" w:rsidDel="00000000" w:rsidP="00000000" w:rsidRDefault="00000000" w:rsidRPr="00000000" w14:paraId="00000020">
            <w:pPr>
              <w:spacing w:after="20" w:lineRule="auto"/>
              <w:rPr/>
            </w:pPr>
            <w:r w:rsidDel="00000000" w:rsidR="00000000" w:rsidRPr="00000000">
              <w:rPr>
                <w:rFonts w:ascii="Aptos" w:cs="Aptos" w:eastAsia="Aptos" w:hAnsi="Aptos"/>
                <w:b w:val="1"/>
                <w:bCs w:val="1"/>
                <w:color w:val="ff8b2c"/>
                <w:sz w:val="21"/>
                <w:szCs w:val="21"/>
                <w:rtl w:val="0"/>
              </w:rPr>
              <w:t xml:space="preserve">Principe de prudence</w:t>
            </w:r>
            <w:r w:rsidDel="00000000" w:rsidR="00000000" w:rsidRPr="00000000">
              <w:rPr>
                <w:rtl w:val="0"/>
              </w:rPr>
            </w:r>
          </w:p>
          <w:p w:rsidR="00000000" w:rsidDel="00000000" w:rsidP="00000000" w:rsidRDefault="00000000" w:rsidRPr="00000000" w14:paraId="00000021">
            <w:pPr>
              <w:spacing w:after="20" w:line="252.00000000000003" w:lineRule="auto"/>
              <w:rPr/>
            </w:pPr>
            <w:r w:rsidDel="00000000" w:rsidR="00000000" w:rsidRPr="00000000">
              <w:rPr>
                <w:rFonts w:ascii="Aptos" w:cs="Aptos" w:eastAsia="Aptos" w:hAnsi="Aptos"/>
                <w:color w:val="102a43"/>
                <w:sz w:val="19"/>
                <w:szCs w:val="19"/>
                <w:rtl w:val="0"/>
              </w:rPr>
              <w:t xml:space="preserve">Les contenus de prévention seront sourcés, datés et relus avant le lancement public. L’outil ne fournira aucune alerte en temps réel et rappellera systématiquement que les consignes des autorités compétentes restent prioritaires.</w:t>
            </w:r>
            <w:r w:rsidDel="00000000" w:rsidR="00000000" w:rsidRPr="00000000">
              <w:rPr>
                <w:rtl w:val="0"/>
              </w:rPr>
            </w:r>
          </w:p>
        </w:tc>
      </w:tr>
    </w:tbl>
    <w:p w:rsidR="00000000" w:rsidDel="00000000" w:rsidP="00000000" w:rsidRDefault="00000000" w:rsidRPr="00000000" w14:paraId="00000022">
      <w:pPr>
        <w:spacing w:after="20" w:lineRule="auto"/>
        <w:rPr/>
      </w:pP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keepNext w:val="1"/>
        <w:spacing w:after="60" w:before="0" w:lineRule="auto"/>
        <w:rPr/>
      </w:pPr>
      <w:r w:rsidDel="00000000" w:rsidR="00000000" w:rsidRPr="00000000">
        <w:rPr>
          <w:rFonts w:ascii="Aptos" w:cs="Aptos" w:eastAsia="Aptos" w:hAnsi="Aptos"/>
          <w:b w:val="1"/>
          <w:bCs w:val="1"/>
          <w:color w:val="008c95"/>
          <w:sz w:val="36"/>
          <w:szCs w:val="36"/>
          <w:rtl w:val="0"/>
        </w:rPr>
        <w:t xml:space="preserve">2. </w:t>
      </w:r>
      <w:r w:rsidDel="00000000" w:rsidR="00000000" w:rsidRPr="00000000">
        <w:rPr>
          <w:rFonts w:ascii="Aptos" w:cs="Aptos" w:eastAsia="Aptos" w:hAnsi="Aptos"/>
          <w:b w:val="1"/>
          <w:bCs w:val="1"/>
          <w:color w:val="102a43"/>
          <w:sz w:val="36"/>
          <w:szCs w:val="36"/>
          <w:rtl w:val="0"/>
        </w:rPr>
        <w:t xml:space="preserve">Page d’accueil et promesse utilisateur</w:t>
      </w:r>
      <w:r w:rsidDel="00000000" w:rsidR="00000000" w:rsidRPr="00000000">
        <w:rPr>
          <w:rtl w:val="0"/>
        </w:rPr>
      </w:r>
    </w:p>
    <w:p w:rsidR="00000000" w:rsidDel="00000000" w:rsidP="00000000" w:rsidRDefault="00000000" w:rsidRPr="00000000" w14:paraId="00000025">
      <w:pPr>
        <w:keepNext w:val="1"/>
        <w:spacing w:after="160" w:lineRule="auto"/>
        <w:rPr/>
      </w:pPr>
      <w:r w:rsidDel="00000000" w:rsidR="00000000" w:rsidRPr="00000000">
        <w:rPr>
          <w:rFonts w:ascii="Aptos" w:cs="Aptos" w:eastAsia="Aptos" w:hAnsi="Aptos"/>
          <w:i w:val="1"/>
          <w:iCs w:val="1"/>
          <w:color w:val="52677a"/>
          <w:sz w:val="20"/>
          <w:szCs w:val="20"/>
          <w:rtl w:val="0"/>
        </w:rPr>
        <w:t xml:space="preserve">Une entrée simple, immédiatement compréhensible et orientée vers l’action.</w:t>
      </w:r>
      <w:r w:rsidDel="00000000" w:rsidR="00000000" w:rsidRPr="00000000">
        <w:rPr>
          <w:rtl w:val="0"/>
        </w:rPr>
      </w:r>
    </w:p>
    <w:p w:rsidR="00000000" w:rsidDel="00000000" w:rsidP="00000000" w:rsidRDefault="00000000" w:rsidRPr="00000000" w14:paraId="00000026">
      <w:pPr>
        <w:spacing w:after="60" w:lineRule="auto"/>
        <w:jc w:val="center"/>
        <w:rPr/>
      </w:pPr>
      <w:r w:rsidDel="00000000" w:rsidR="00000000" w:rsidRPr="00000000">
        <w:rPr/>
        <w:drawing>
          <wp:inline distB="0" distT="0" distL="114300" distR="114300">
            <wp:extent cx="5989320" cy="4819531"/>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89320" cy="4819531"/>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140" w:lineRule="auto"/>
        <w:jc w:val="center"/>
        <w:rPr/>
      </w:pPr>
      <w:r w:rsidDel="00000000" w:rsidR="00000000" w:rsidRPr="00000000">
        <w:rPr>
          <w:rFonts w:ascii="Aptos" w:cs="Aptos" w:eastAsia="Aptos" w:hAnsi="Aptos"/>
          <w:i w:val="1"/>
          <w:iCs w:val="1"/>
          <w:color w:val="52677a"/>
          <w:sz w:val="17"/>
          <w:szCs w:val="17"/>
          <w:rtl w:val="0"/>
        </w:rPr>
        <w:t xml:space="preserve">Capture 2 - Accueil : promesse du diagnostic, parcours en six étapes et engagements de confidentialité.</w:t>
      </w:r>
      <w:r w:rsidDel="00000000" w:rsidR="00000000" w:rsidRPr="00000000">
        <w:rPr>
          <w:rtl w:val="0"/>
        </w:rPr>
      </w:r>
    </w:p>
    <w:p w:rsidR="00000000" w:rsidDel="00000000" w:rsidP="00000000" w:rsidRDefault="00000000" w:rsidRPr="00000000" w14:paraId="00000028">
      <w:pPr>
        <w:pStyle w:val="Heading2"/>
        <w:keepNext w:val="1"/>
        <w:spacing w:after="60" w:before="0" w:line="259" w:lineRule="auto"/>
        <w:rPr/>
      </w:pPr>
      <w:r w:rsidDel="00000000" w:rsidR="00000000" w:rsidRPr="00000000">
        <w:rPr>
          <w:rFonts w:ascii="Aptos" w:cs="Aptos" w:eastAsia="Aptos" w:hAnsi="Aptos"/>
          <w:color w:val="102a43"/>
          <w:sz w:val="21"/>
          <w:szCs w:val="21"/>
          <w:rtl w:val="0"/>
        </w:rPr>
        <w:t xml:space="preserve">Éléments démontrés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la finalité du service est comprise dès le premier écran : évaluer sa préparation et obtenir un plan personnalisé ;</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le bouton principal permet d’accéder immédiatement au diagnostic ;</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le parcours en six étapes rend visibles les livrables attendus : diagnostic, résultat, plan d’actions, checklist, kit et PDF ;</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les engagements de gratuité, d'accès sans compte et de conservation locale des réponses réduisent les freins à l'usage ;</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le sélecteur de langue sera masqué tant qu'aucune traduction validée n'est disponible, puis permettra l'adaptation future du service aux langues utilisées sur le territoire.</w:t>
      </w:r>
      <w:r w:rsidDel="00000000" w:rsidR="00000000" w:rsidRPr="00000000">
        <w:rPr>
          <w:rtl w:val="0"/>
        </w:rPr>
      </w:r>
    </w:p>
    <w:tbl>
      <w:tblPr>
        <w:tblStyle w:val="Table5"/>
        <w:tblW w:w="9173.0" w:type="dxa"/>
        <w:jc w:val="center"/>
        <w:tblLayout w:type="fixed"/>
        <w:tblLook w:val="0400"/>
      </w:tblPr>
      <w:tblGrid>
        <w:gridCol w:w="173"/>
        <w:gridCol w:w="9000"/>
        <w:tblGridChange w:id="0">
          <w:tblGrid>
            <w:gridCol w:w="173"/>
            <w:gridCol w:w="9000"/>
          </w:tblGrid>
        </w:tblGridChange>
      </w:tblGrid>
      <w:tr>
        <w:trPr>
          <w:cantSplit w:val="0"/>
          <w:tblHeader w:val="0"/>
        </w:trPr>
        <w:tc>
          <w:tcPr>
            <w:tcBorders>
              <w:top w:color="cfe1e8" w:space="0" w:sz="6" w:val="single"/>
              <w:left w:color="cfe1e8" w:space="0" w:sz="6" w:val="single"/>
              <w:bottom w:color="cfe1e8" w:space="0" w:sz="6" w:val="single"/>
              <w:right w:color="cfe1e8" w:space="0" w:sz="6" w:val="single"/>
            </w:tcBorders>
            <w:shd w:fill="008c95" w:val="clear"/>
            <w:vAlign w:val="center"/>
          </w:tcPr>
          <w:p w:rsidR="00000000" w:rsidDel="00000000" w:rsidP="00000000" w:rsidRDefault="00000000" w:rsidRPr="00000000" w14:paraId="0000002E">
            <w:pPr>
              <w:rPr/>
            </w:pPr>
            <w:r w:rsidDel="00000000" w:rsidR="00000000" w:rsidRPr="00000000">
              <w:rPr>
                <w:rtl w:val="0"/>
              </w:rPr>
            </w:r>
          </w:p>
        </w:tc>
        <w:tc>
          <w:tcPr>
            <w:tcBorders>
              <w:top w:color="cfe1e8" w:space="0" w:sz="6" w:val="single"/>
              <w:left w:color="cfe1e8" w:space="0" w:sz="6" w:val="single"/>
              <w:bottom w:color="cfe1e8" w:space="0" w:sz="6" w:val="single"/>
              <w:right w:color="cfe1e8" w:space="0" w:sz="6" w:val="single"/>
            </w:tcBorders>
            <w:shd w:fill="f4fafb" w:val="clear"/>
            <w:vAlign w:val="center"/>
          </w:tcPr>
          <w:p w:rsidR="00000000" w:rsidDel="00000000" w:rsidP="00000000" w:rsidRDefault="00000000" w:rsidRPr="00000000" w14:paraId="0000002F">
            <w:pPr>
              <w:spacing w:after="20" w:lineRule="auto"/>
              <w:rPr/>
            </w:pPr>
            <w:r w:rsidDel="00000000" w:rsidR="00000000" w:rsidRPr="00000000">
              <w:rPr>
                <w:rFonts w:ascii="Aptos" w:cs="Aptos" w:eastAsia="Aptos" w:hAnsi="Aptos"/>
                <w:b w:val="1"/>
                <w:bCs w:val="1"/>
                <w:color w:val="008c95"/>
                <w:sz w:val="21"/>
                <w:szCs w:val="21"/>
                <w:rtl w:val="0"/>
              </w:rPr>
              <w:t xml:space="preserve">Apport pour la JNR</w:t>
            </w:r>
            <w:r w:rsidDel="00000000" w:rsidR="00000000" w:rsidRPr="00000000">
              <w:rPr>
                <w:rtl w:val="0"/>
              </w:rPr>
            </w:r>
          </w:p>
          <w:p w:rsidR="00000000" w:rsidDel="00000000" w:rsidP="00000000" w:rsidRDefault="00000000" w:rsidRPr="00000000" w14:paraId="00000030">
            <w:pPr>
              <w:spacing w:after="20" w:line="252.00000000000003" w:lineRule="auto"/>
              <w:rPr/>
            </w:pPr>
            <w:r w:rsidDel="00000000" w:rsidR="00000000" w:rsidRPr="00000000">
              <w:rPr>
                <w:rFonts w:ascii="Aptos" w:cs="Aptos" w:eastAsia="Aptos" w:hAnsi="Aptos"/>
                <w:color w:val="102a43"/>
                <w:sz w:val="19"/>
                <w:szCs w:val="19"/>
                <w:rtl w:val="0"/>
              </w:rPr>
              <w:t xml:space="preserve">L’écran d’accueil transforme une information générale sur les risques en une démarche personnelle et immédiate : l’utilisateur est invité à agir, pas seulement à consulter des consignes.</w:t>
            </w:r>
            <w:r w:rsidDel="00000000" w:rsidR="00000000" w:rsidRPr="00000000">
              <w:rPr>
                <w:rtl w:val="0"/>
              </w:rPr>
            </w:r>
          </w:p>
        </w:tc>
      </w:tr>
    </w:tbl>
    <w:p w:rsidR="00000000" w:rsidDel="00000000" w:rsidP="00000000" w:rsidRDefault="00000000" w:rsidRPr="00000000" w14:paraId="00000031">
      <w:pPr>
        <w:spacing w:after="20" w:lineRule="auto"/>
        <w:rPr/>
      </w:pP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keepNext w:val="1"/>
        <w:spacing w:after="60" w:before="0" w:lineRule="auto"/>
        <w:rPr/>
      </w:pPr>
      <w:r w:rsidDel="00000000" w:rsidR="00000000" w:rsidRPr="00000000">
        <w:rPr>
          <w:rFonts w:ascii="Aptos" w:cs="Aptos" w:eastAsia="Aptos" w:hAnsi="Aptos"/>
          <w:b w:val="1"/>
          <w:bCs w:val="1"/>
          <w:color w:val="008c95"/>
          <w:sz w:val="36"/>
          <w:szCs w:val="36"/>
          <w:rtl w:val="0"/>
        </w:rPr>
        <w:t xml:space="preserve">3. </w:t>
      </w:r>
      <w:r w:rsidDel="00000000" w:rsidR="00000000" w:rsidRPr="00000000">
        <w:rPr>
          <w:rFonts w:ascii="Aptos" w:cs="Aptos" w:eastAsia="Aptos" w:hAnsi="Aptos"/>
          <w:b w:val="1"/>
          <w:bCs w:val="1"/>
          <w:color w:val="102a43"/>
          <w:sz w:val="36"/>
          <w:szCs w:val="36"/>
          <w:rtl w:val="0"/>
        </w:rPr>
        <w:t xml:space="preserve">Diagnostic de préparation</w:t>
      </w:r>
      <w:r w:rsidDel="00000000" w:rsidR="00000000" w:rsidRPr="00000000">
        <w:rPr>
          <w:rtl w:val="0"/>
        </w:rPr>
      </w:r>
    </w:p>
    <w:p w:rsidR="00000000" w:rsidDel="00000000" w:rsidP="00000000" w:rsidRDefault="00000000" w:rsidRPr="00000000" w14:paraId="00000034">
      <w:pPr>
        <w:keepNext w:val="1"/>
        <w:spacing w:after="160" w:lineRule="auto"/>
        <w:rPr/>
      </w:pPr>
      <w:r w:rsidDel="00000000" w:rsidR="00000000" w:rsidRPr="00000000">
        <w:rPr>
          <w:rFonts w:ascii="Aptos" w:cs="Aptos" w:eastAsia="Aptos" w:hAnsi="Aptos"/>
          <w:i w:val="1"/>
          <w:iCs w:val="1"/>
          <w:color w:val="52677a"/>
          <w:sz w:val="20"/>
          <w:szCs w:val="20"/>
          <w:rtl w:val="0"/>
        </w:rPr>
        <w:t xml:space="preserve">Un parcours guidé de 24 questions réparties en six domaines.</w:t>
      </w:r>
      <w:r w:rsidDel="00000000" w:rsidR="00000000" w:rsidRPr="00000000">
        <w:rPr>
          <w:rtl w:val="0"/>
        </w:rPr>
      </w:r>
    </w:p>
    <w:p w:rsidR="00000000" w:rsidDel="00000000" w:rsidP="00000000" w:rsidRDefault="00000000" w:rsidRPr="00000000" w14:paraId="00000035">
      <w:pPr>
        <w:spacing w:after="60" w:lineRule="auto"/>
        <w:jc w:val="center"/>
        <w:rPr/>
      </w:pPr>
      <w:r w:rsidDel="00000000" w:rsidR="00000000" w:rsidRPr="00000000">
        <w:rPr/>
        <w:drawing>
          <wp:inline distB="0" distT="0" distL="114300" distR="114300">
            <wp:extent cx="5989320" cy="3041452"/>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89320" cy="3041452"/>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140" w:lineRule="auto"/>
        <w:jc w:val="center"/>
        <w:rPr/>
      </w:pPr>
      <w:r w:rsidDel="00000000" w:rsidR="00000000" w:rsidRPr="00000000">
        <w:rPr>
          <w:rFonts w:ascii="Aptos" w:cs="Aptos" w:eastAsia="Aptos" w:hAnsi="Aptos"/>
          <w:i w:val="1"/>
          <w:iCs w:val="1"/>
          <w:color w:val="52677a"/>
          <w:sz w:val="17"/>
          <w:szCs w:val="17"/>
          <w:rtl w:val="0"/>
        </w:rPr>
        <w:t xml:space="preserve">Capture 3 - Première question du diagnostic et navigation par domaine.</w:t>
      </w:r>
      <w:r w:rsidDel="00000000" w:rsidR="00000000" w:rsidRPr="00000000">
        <w:rPr>
          <w:rtl w:val="0"/>
        </w:rPr>
      </w:r>
    </w:p>
    <w:p w:rsidR="00000000" w:rsidDel="00000000" w:rsidP="00000000" w:rsidRDefault="00000000" w:rsidRPr="00000000" w14:paraId="00000037">
      <w:pPr>
        <w:pStyle w:val="Heading2"/>
        <w:keepNext w:val="1"/>
        <w:spacing w:after="60" w:before="0" w:line="259" w:lineRule="auto"/>
        <w:rPr/>
      </w:pPr>
      <w:r w:rsidDel="00000000" w:rsidR="00000000" w:rsidRPr="00000000">
        <w:rPr>
          <w:rFonts w:ascii="Aptos" w:cs="Aptos" w:eastAsia="Aptos" w:hAnsi="Aptos"/>
          <w:color w:val="102a43"/>
          <w:sz w:val="21"/>
          <w:szCs w:val="21"/>
          <w:rtl w:val="0"/>
        </w:rPr>
        <w:t xml:space="preserve">Structure du diagnostic</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Mon foyer : personnes à protéger, besoins particuliers et organisation familiale ;</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Mon logement : zone de repli, sécurisation et vulnérabilités ;</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Eau et alimentation : réserves et autonomie minimale ;</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Énergie et communication : éclairage, recharge et accès à l’information officielle ;</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Santé et documents : premiers secours, protection des papiers essentiels et anticipation des besoins, sans saisie de détail médical ;</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Comportements : réflexes, préparation et conduite à tenir.</w:t>
      </w:r>
      <w:r w:rsidDel="00000000" w:rsidR="00000000" w:rsidRPr="00000000">
        <w:rPr>
          <w:rtl w:val="0"/>
        </w:rPr>
      </w:r>
    </w:p>
    <w:p w:rsidR="00000000" w:rsidDel="00000000" w:rsidP="00000000" w:rsidRDefault="00000000" w:rsidRPr="00000000" w14:paraId="0000003E">
      <w:pPr>
        <w:pStyle w:val="Heading2"/>
        <w:keepNext w:val="1"/>
        <w:spacing w:after="60" w:before="120" w:line="259" w:lineRule="auto"/>
        <w:rPr/>
      </w:pPr>
      <w:r w:rsidDel="00000000" w:rsidR="00000000" w:rsidRPr="00000000">
        <w:rPr>
          <w:rFonts w:ascii="Aptos" w:cs="Aptos" w:eastAsia="Aptos" w:hAnsi="Aptos"/>
          <w:color w:val="102a43"/>
          <w:sz w:val="21"/>
          <w:szCs w:val="21"/>
          <w:rtl w:val="0"/>
        </w:rPr>
        <w:t xml:space="preserve">Principes d’expérience utilisateur</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une question par écran pour limiter la charge cognitive ;</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des réponses simples et graduées, sans vocabulaire technique ;</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une progression visible ;</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la possibilité de revenir à l’étape précédente ;</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aucune création de compte ni saisie de données d’identité.</w:t>
      </w:r>
      <w:r w:rsidDel="00000000" w:rsidR="00000000" w:rsidRPr="00000000">
        <w:rPr>
          <w:rtl w:val="0"/>
        </w:rPr>
      </w:r>
    </w:p>
    <w:tbl>
      <w:tblPr>
        <w:tblStyle w:val="Table6"/>
        <w:tblW w:w="9173.0" w:type="dxa"/>
        <w:jc w:val="center"/>
        <w:tblLayout w:type="fixed"/>
        <w:tblLook w:val="0400"/>
      </w:tblPr>
      <w:tblGrid>
        <w:gridCol w:w="173"/>
        <w:gridCol w:w="9000"/>
        <w:tblGridChange w:id="0">
          <w:tblGrid>
            <w:gridCol w:w="173"/>
            <w:gridCol w:w="9000"/>
          </w:tblGrid>
        </w:tblGridChange>
      </w:tblGrid>
      <w:tr>
        <w:trPr>
          <w:cantSplit w:val="0"/>
          <w:tblHeader w:val="0"/>
        </w:trPr>
        <w:tc>
          <w:tcPr>
            <w:tcBorders>
              <w:top w:color="cfe1e8" w:space="0" w:sz="6" w:val="single"/>
              <w:left w:color="cfe1e8" w:space="0" w:sz="6" w:val="single"/>
              <w:bottom w:color="cfe1e8" w:space="0" w:sz="6" w:val="single"/>
              <w:right w:color="cfe1e8" w:space="0" w:sz="6" w:val="single"/>
            </w:tcBorders>
            <w:shd w:fill="008c95" w:val="clear"/>
            <w:vAlign w:val="center"/>
          </w:tcPr>
          <w:p w:rsidR="00000000" w:rsidDel="00000000" w:rsidP="00000000" w:rsidRDefault="00000000" w:rsidRPr="00000000" w14:paraId="00000044">
            <w:pPr>
              <w:rPr/>
            </w:pPr>
            <w:r w:rsidDel="00000000" w:rsidR="00000000" w:rsidRPr="00000000">
              <w:rPr>
                <w:rtl w:val="0"/>
              </w:rPr>
            </w:r>
          </w:p>
        </w:tc>
        <w:tc>
          <w:tcPr>
            <w:tcBorders>
              <w:top w:color="cfe1e8" w:space="0" w:sz="6" w:val="single"/>
              <w:left w:color="cfe1e8" w:space="0" w:sz="6" w:val="single"/>
              <w:bottom w:color="cfe1e8" w:space="0" w:sz="6" w:val="single"/>
              <w:right w:color="cfe1e8" w:space="0" w:sz="6" w:val="single"/>
            </w:tcBorders>
            <w:shd w:fill="f4fafb" w:val="clear"/>
            <w:vAlign w:val="center"/>
          </w:tcPr>
          <w:p w:rsidR="00000000" w:rsidDel="00000000" w:rsidP="00000000" w:rsidRDefault="00000000" w:rsidRPr="00000000" w14:paraId="00000045">
            <w:pPr>
              <w:spacing w:after="20" w:lineRule="auto"/>
              <w:rPr/>
            </w:pPr>
            <w:r w:rsidDel="00000000" w:rsidR="00000000" w:rsidRPr="00000000">
              <w:rPr>
                <w:rFonts w:ascii="Aptos" w:cs="Aptos" w:eastAsia="Aptos" w:hAnsi="Aptos"/>
                <w:b w:val="1"/>
                <w:bCs w:val="1"/>
                <w:color w:val="008c95"/>
                <w:sz w:val="21"/>
                <w:szCs w:val="21"/>
                <w:rtl w:val="0"/>
              </w:rPr>
              <w:t xml:space="preserve">Résultat attendu</w:t>
            </w:r>
            <w:r w:rsidDel="00000000" w:rsidR="00000000" w:rsidRPr="00000000">
              <w:rPr>
                <w:rtl w:val="0"/>
              </w:rPr>
            </w:r>
          </w:p>
          <w:p w:rsidR="00000000" w:rsidDel="00000000" w:rsidP="00000000" w:rsidRDefault="00000000" w:rsidRPr="00000000" w14:paraId="00000046">
            <w:pPr>
              <w:spacing w:after="20" w:line="252.00000000000003" w:lineRule="auto"/>
              <w:rPr/>
            </w:pPr>
            <w:r w:rsidDel="00000000" w:rsidR="00000000" w:rsidRPr="00000000">
              <w:rPr>
                <w:rFonts w:ascii="Aptos" w:cs="Aptos" w:eastAsia="Aptos" w:hAnsi="Aptos"/>
                <w:color w:val="102a43"/>
                <w:sz w:val="19"/>
                <w:szCs w:val="19"/>
                <w:rtl w:val="0"/>
              </w:rPr>
              <w:t xml:space="preserve">En 5 à 10 minutes, l’utilisateur obtient une photographie compréhensible de sa préparation et des actions concrètes à engager.</w:t>
            </w:r>
            <w:r w:rsidDel="00000000" w:rsidR="00000000" w:rsidRPr="00000000">
              <w:rPr>
                <w:rtl w:val="0"/>
              </w:rPr>
            </w:r>
          </w:p>
        </w:tc>
      </w:tr>
    </w:tbl>
    <w:p w:rsidR="00000000" w:rsidDel="00000000" w:rsidP="00000000" w:rsidRDefault="00000000" w:rsidRPr="00000000" w14:paraId="00000047">
      <w:pPr>
        <w:spacing w:after="20" w:lineRule="auto"/>
        <w:rPr/>
      </w:pPr>
      <w:r w:rsidDel="00000000" w:rsidR="00000000" w:rsidRPr="00000000">
        <w:rPr>
          <w:rtl w:val="0"/>
        </w:rPr>
      </w:r>
    </w:p>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keepNext w:val="1"/>
        <w:spacing w:after="60" w:before="0" w:lineRule="auto"/>
        <w:rPr/>
      </w:pPr>
      <w:r w:rsidDel="00000000" w:rsidR="00000000" w:rsidRPr="00000000">
        <w:rPr>
          <w:rFonts w:ascii="Aptos" w:cs="Aptos" w:eastAsia="Aptos" w:hAnsi="Aptos"/>
          <w:b w:val="1"/>
          <w:bCs w:val="1"/>
          <w:color w:val="008c95"/>
          <w:sz w:val="36"/>
          <w:szCs w:val="36"/>
          <w:rtl w:val="0"/>
        </w:rPr>
        <w:t xml:space="preserve">4. </w:t>
      </w:r>
      <w:r w:rsidDel="00000000" w:rsidR="00000000" w:rsidRPr="00000000">
        <w:rPr>
          <w:rFonts w:ascii="Aptos" w:cs="Aptos" w:eastAsia="Aptos" w:hAnsi="Aptos"/>
          <w:b w:val="1"/>
          <w:bCs w:val="1"/>
          <w:color w:val="102a43"/>
          <w:sz w:val="36"/>
          <w:szCs w:val="36"/>
          <w:rtl w:val="0"/>
        </w:rPr>
        <w:t xml:space="preserve">Résultats et plan d’actions personnalisé</w:t>
      </w:r>
      <w:r w:rsidDel="00000000" w:rsidR="00000000" w:rsidRPr="00000000">
        <w:rPr>
          <w:rtl w:val="0"/>
        </w:rPr>
      </w:r>
    </w:p>
    <w:p w:rsidR="00000000" w:rsidDel="00000000" w:rsidP="00000000" w:rsidRDefault="00000000" w:rsidRPr="00000000" w14:paraId="0000004A">
      <w:pPr>
        <w:keepNext w:val="1"/>
        <w:spacing w:after="160" w:lineRule="auto"/>
        <w:rPr/>
      </w:pPr>
      <w:r w:rsidDel="00000000" w:rsidR="00000000" w:rsidRPr="00000000">
        <w:rPr>
          <w:rFonts w:ascii="Aptos" w:cs="Aptos" w:eastAsia="Aptos" w:hAnsi="Aptos"/>
          <w:i w:val="1"/>
          <w:iCs w:val="1"/>
          <w:color w:val="52677a"/>
          <w:sz w:val="20"/>
          <w:szCs w:val="20"/>
          <w:rtl w:val="0"/>
        </w:rPr>
        <w:t xml:space="preserve">Transformer les réponses en priorités immédiatement compréhensibles.</w:t>
      </w:r>
      <w:r w:rsidDel="00000000" w:rsidR="00000000" w:rsidRPr="00000000">
        <w:rPr>
          <w:rtl w:val="0"/>
        </w:rPr>
      </w:r>
    </w:p>
    <w:p w:rsidR="00000000" w:rsidDel="00000000" w:rsidP="00000000" w:rsidRDefault="00000000" w:rsidRPr="00000000" w14:paraId="0000004B">
      <w:pPr>
        <w:spacing w:after="60" w:lineRule="auto"/>
        <w:jc w:val="center"/>
        <w:rPr/>
      </w:pPr>
      <w:r w:rsidDel="00000000" w:rsidR="00000000" w:rsidRPr="00000000">
        <w:rPr/>
        <w:drawing>
          <wp:inline distB="0" distT="0" distL="114300" distR="114300">
            <wp:extent cx="5623560" cy="4986516"/>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623560" cy="4986516"/>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140" w:lineRule="auto"/>
        <w:jc w:val="center"/>
        <w:rPr/>
      </w:pPr>
      <w:r w:rsidDel="00000000" w:rsidR="00000000" w:rsidRPr="00000000">
        <w:rPr>
          <w:rFonts w:ascii="Aptos" w:cs="Aptos" w:eastAsia="Aptos" w:hAnsi="Aptos"/>
          <w:i w:val="1"/>
          <w:iCs w:val="1"/>
          <w:color w:val="52677a"/>
          <w:sz w:val="17"/>
          <w:szCs w:val="17"/>
          <w:rtl w:val="0"/>
        </w:rPr>
        <w:t xml:space="preserve">Capture 4 - Exemple de résultat complété : score global, scores par domaine, priorités immédiates et actions sous sept jours.</w:t>
      </w:r>
      <w:r w:rsidDel="00000000" w:rsidR="00000000" w:rsidRPr="00000000">
        <w:rPr>
          <w:rtl w:val="0"/>
        </w:rPr>
      </w:r>
    </w:p>
    <w:p w:rsidR="00000000" w:rsidDel="00000000" w:rsidP="00000000" w:rsidRDefault="00000000" w:rsidRPr="00000000" w14:paraId="0000004D">
      <w:pPr>
        <w:pStyle w:val="Heading2"/>
        <w:keepNext w:val="1"/>
        <w:spacing w:after="60" w:before="0" w:line="259" w:lineRule="auto"/>
        <w:rPr/>
      </w:pPr>
      <w:r w:rsidDel="00000000" w:rsidR="00000000" w:rsidRPr="00000000">
        <w:rPr>
          <w:rFonts w:ascii="Aptos" w:cs="Aptos" w:eastAsia="Aptos" w:hAnsi="Aptos"/>
          <w:color w:val="102a43"/>
          <w:sz w:val="21"/>
          <w:szCs w:val="21"/>
          <w:rtl w:val="0"/>
        </w:rPr>
        <w:t xml:space="preserve">Informations restituées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un score global sur 100 accompagné d’un niveau de préparation ;</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des scores détaillés sur les six domaines afin d’identifier les points faibles ;</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trois priorités immédiates générées à partir des réponses ;</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des actions sous sept jours, formulées de manière pratique ;</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des sources associées aux recommandations ;</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des accès directs à la checklist, au kit et à l'attestation de participation.</w:t>
      </w:r>
      <w:r w:rsidDel="00000000" w:rsidR="00000000" w:rsidRPr="00000000">
        <w:rPr>
          <w:rtl w:val="0"/>
        </w:rPr>
      </w:r>
    </w:p>
    <w:tbl>
      <w:tblPr>
        <w:tblStyle w:val="Table7"/>
        <w:tblW w:w="9173.0" w:type="dxa"/>
        <w:jc w:val="center"/>
        <w:tblLayout w:type="fixed"/>
        <w:tblLook w:val="0400"/>
      </w:tblPr>
      <w:tblGrid>
        <w:gridCol w:w="173"/>
        <w:gridCol w:w="9000"/>
        <w:tblGridChange w:id="0">
          <w:tblGrid>
            <w:gridCol w:w="173"/>
            <w:gridCol w:w="9000"/>
          </w:tblGrid>
        </w:tblGridChange>
      </w:tblGrid>
      <w:tr>
        <w:trPr>
          <w:cantSplit w:val="0"/>
          <w:tblHeader w:val="0"/>
        </w:trPr>
        <w:tc>
          <w:tcPr>
            <w:tcBorders>
              <w:top w:color="cfe1e8" w:space="0" w:sz="6" w:val="single"/>
              <w:left w:color="cfe1e8" w:space="0" w:sz="6" w:val="single"/>
              <w:bottom w:color="cfe1e8" w:space="0" w:sz="6" w:val="single"/>
              <w:right w:color="cfe1e8" w:space="0" w:sz="6" w:val="single"/>
            </w:tcBorders>
            <w:shd w:fill="ff8b2c" w:val="clear"/>
            <w:vAlign w:val="center"/>
          </w:tcPr>
          <w:p w:rsidR="00000000" w:rsidDel="00000000" w:rsidP="00000000" w:rsidRDefault="00000000" w:rsidRPr="00000000" w14:paraId="00000054">
            <w:pPr>
              <w:rPr/>
            </w:pPr>
            <w:r w:rsidDel="00000000" w:rsidR="00000000" w:rsidRPr="00000000">
              <w:rPr>
                <w:rtl w:val="0"/>
              </w:rPr>
            </w:r>
          </w:p>
        </w:tc>
        <w:tc>
          <w:tcPr>
            <w:tcBorders>
              <w:top w:color="cfe1e8" w:space="0" w:sz="6" w:val="single"/>
              <w:left w:color="cfe1e8" w:space="0" w:sz="6" w:val="single"/>
              <w:bottom w:color="cfe1e8" w:space="0" w:sz="6" w:val="single"/>
              <w:right w:color="cfe1e8" w:space="0" w:sz="6" w:val="single"/>
            </w:tcBorders>
            <w:shd w:fill="f4fafb" w:val="clear"/>
            <w:vAlign w:val="center"/>
          </w:tcPr>
          <w:p w:rsidR="00000000" w:rsidDel="00000000" w:rsidP="00000000" w:rsidRDefault="00000000" w:rsidRPr="00000000" w14:paraId="00000055">
            <w:pPr>
              <w:spacing w:after="20" w:lineRule="auto"/>
              <w:rPr/>
            </w:pPr>
            <w:r w:rsidDel="00000000" w:rsidR="00000000" w:rsidRPr="00000000">
              <w:rPr>
                <w:rFonts w:ascii="Aptos" w:cs="Aptos" w:eastAsia="Aptos" w:hAnsi="Aptos"/>
                <w:b w:val="1"/>
                <w:bCs w:val="1"/>
                <w:color w:val="ff8b2c"/>
                <w:sz w:val="21"/>
                <w:szCs w:val="21"/>
                <w:rtl w:val="0"/>
              </w:rPr>
              <w:t xml:space="preserve">Valeur pédagogique</w:t>
            </w:r>
            <w:r w:rsidDel="00000000" w:rsidR="00000000" w:rsidRPr="00000000">
              <w:rPr>
                <w:rtl w:val="0"/>
              </w:rPr>
            </w:r>
          </w:p>
          <w:p w:rsidR="00000000" w:rsidDel="00000000" w:rsidP="00000000" w:rsidRDefault="00000000" w:rsidRPr="00000000" w14:paraId="00000056">
            <w:pPr>
              <w:spacing w:after="20" w:line="252.00000000000003" w:lineRule="auto"/>
              <w:rPr/>
            </w:pPr>
            <w:r w:rsidDel="00000000" w:rsidR="00000000" w:rsidRPr="00000000">
              <w:rPr>
                <w:rFonts w:ascii="Aptos" w:cs="Aptos" w:eastAsia="Aptos" w:hAnsi="Aptos"/>
                <w:color w:val="102a43"/>
                <w:sz w:val="19"/>
                <w:szCs w:val="19"/>
                <w:rtl w:val="0"/>
              </w:rPr>
              <w:t xml:space="preserve">Le score n’est pas une certification. Il sert à rendre visibles les vulnérabilités et à orienter l’utilisateur vers des actions réalisables, hiérarchisées et sourcées.</w:t>
            </w:r>
            <w:r w:rsidDel="00000000" w:rsidR="00000000" w:rsidRPr="00000000">
              <w:rPr>
                <w:rtl w:val="0"/>
              </w:rPr>
            </w:r>
          </w:p>
        </w:tc>
      </w:tr>
    </w:tbl>
    <w:p w:rsidR="00000000" w:rsidDel="00000000" w:rsidP="00000000" w:rsidRDefault="00000000" w:rsidRPr="00000000" w14:paraId="00000057">
      <w:pPr>
        <w:spacing w:after="20" w:lineRule="auto"/>
        <w:rPr/>
      </w:pPr>
      <w:r w:rsidDel="00000000" w:rsidR="00000000" w:rsidRPr="00000000">
        <w:rPr>
          <w:rtl w:val="0"/>
        </w:rPr>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keepNext w:val="1"/>
        <w:spacing w:after="60" w:before="0" w:lineRule="auto"/>
        <w:rPr/>
      </w:pPr>
      <w:r w:rsidDel="00000000" w:rsidR="00000000" w:rsidRPr="00000000">
        <w:rPr>
          <w:rFonts w:ascii="Aptos" w:cs="Aptos" w:eastAsia="Aptos" w:hAnsi="Aptos"/>
          <w:b w:val="1"/>
          <w:bCs w:val="1"/>
          <w:color w:val="008c95"/>
          <w:sz w:val="36"/>
          <w:szCs w:val="36"/>
          <w:rtl w:val="0"/>
        </w:rPr>
        <w:t xml:space="preserve">5. </w:t>
      </w:r>
      <w:r w:rsidDel="00000000" w:rsidR="00000000" w:rsidRPr="00000000">
        <w:rPr>
          <w:rFonts w:ascii="Aptos" w:cs="Aptos" w:eastAsia="Aptos" w:hAnsi="Aptos"/>
          <w:b w:val="1"/>
          <w:bCs w:val="1"/>
          <w:color w:val="102a43"/>
          <w:sz w:val="36"/>
          <w:szCs w:val="36"/>
          <w:rtl w:val="0"/>
        </w:rPr>
        <w:t xml:space="preserve">Checklist de préparation</w:t>
      </w:r>
      <w:r w:rsidDel="00000000" w:rsidR="00000000" w:rsidRPr="00000000">
        <w:rPr>
          <w:rtl w:val="0"/>
        </w:rPr>
      </w:r>
    </w:p>
    <w:p w:rsidR="00000000" w:rsidDel="00000000" w:rsidP="00000000" w:rsidRDefault="00000000" w:rsidRPr="00000000" w14:paraId="0000005A">
      <w:pPr>
        <w:keepNext w:val="1"/>
        <w:spacing w:after="160" w:lineRule="auto"/>
        <w:rPr/>
      </w:pPr>
      <w:r w:rsidDel="00000000" w:rsidR="00000000" w:rsidRPr="00000000">
        <w:rPr>
          <w:rFonts w:ascii="Aptos" w:cs="Aptos" w:eastAsia="Aptos" w:hAnsi="Aptos"/>
          <w:i w:val="1"/>
          <w:iCs w:val="1"/>
          <w:color w:val="52677a"/>
          <w:sz w:val="20"/>
          <w:szCs w:val="20"/>
          <w:rtl w:val="0"/>
        </w:rPr>
        <w:t xml:space="preserve">Un support de suivi utilisable dans la durée et personnalisable par le foyer.</w:t>
      </w:r>
      <w:r w:rsidDel="00000000" w:rsidR="00000000" w:rsidRPr="00000000">
        <w:rPr>
          <w:rtl w:val="0"/>
        </w:rPr>
      </w:r>
    </w:p>
    <w:p w:rsidR="00000000" w:rsidDel="00000000" w:rsidP="00000000" w:rsidRDefault="00000000" w:rsidRPr="00000000" w14:paraId="0000005B">
      <w:pPr>
        <w:spacing w:after="60" w:lineRule="auto"/>
        <w:jc w:val="center"/>
        <w:rPr/>
      </w:pPr>
      <w:r w:rsidDel="00000000" w:rsidR="00000000" w:rsidRPr="00000000">
        <w:rPr/>
        <w:drawing>
          <wp:inline distB="0" distT="0" distL="114300" distR="114300">
            <wp:extent cx="3977639" cy="509635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977639" cy="50963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140" w:lineRule="auto"/>
        <w:jc w:val="center"/>
        <w:rPr/>
      </w:pPr>
      <w:r w:rsidDel="00000000" w:rsidR="00000000" w:rsidRPr="00000000">
        <w:rPr>
          <w:rFonts w:ascii="Aptos" w:cs="Aptos" w:eastAsia="Aptos" w:hAnsi="Aptos"/>
          <w:i w:val="1"/>
          <w:iCs w:val="1"/>
          <w:color w:val="52677a"/>
          <w:sz w:val="17"/>
          <w:szCs w:val="17"/>
          <w:rtl w:val="0"/>
        </w:rPr>
        <w:t xml:space="preserve">Capture 5 - Checklist : actions recommandées, suivi de progression et actions personnelles facultatives.</w:t>
      </w:r>
      <w:r w:rsidDel="00000000" w:rsidR="00000000" w:rsidRPr="00000000">
        <w:rPr>
          <w:rtl w:val="0"/>
        </w:rPr>
      </w:r>
    </w:p>
    <w:p w:rsidR="00000000" w:rsidDel="00000000" w:rsidP="00000000" w:rsidRDefault="00000000" w:rsidRPr="00000000" w14:paraId="0000005D">
      <w:pPr>
        <w:pStyle w:val="Heading2"/>
        <w:keepNext w:val="1"/>
        <w:spacing w:after="60" w:before="0" w:line="259" w:lineRule="auto"/>
        <w:rPr/>
      </w:pPr>
      <w:r w:rsidDel="00000000" w:rsidR="00000000" w:rsidRPr="00000000">
        <w:rPr>
          <w:rFonts w:ascii="Aptos" w:cs="Aptos" w:eastAsia="Aptos" w:hAnsi="Aptos"/>
          <w:color w:val="102a43"/>
          <w:sz w:val="21"/>
          <w:szCs w:val="21"/>
          <w:rtl w:val="0"/>
        </w:rPr>
        <w:t xml:space="preserve">Fonctions visibles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liste d’actions recommandées couvrant la famille, le logement, l’eau, l’alimentation, l’énergie et l’information ;</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cases à cocher et indicateur de progression ;</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ajout d’actions personnelles propres au foyer ;</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conservation locale sur l’appareil ;</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intégration prévue dans le document PDF exporté.</w:t>
      </w:r>
      <w:r w:rsidDel="00000000" w:rsidR="00000000" w:rsidRPr="00000000">
        <w:rPr>
          <w:rtl w:val="0"/>
        </w:rPr>
      </w:r>
    </w:p>
    <w:tbl>
      <w:tblPr>
        <w:tblStyle w:val="Table8"/>
        <w:tblW w:w="9173.0" w:type="dxa"/>
        <w:jc w:val="center"/>
        <w:tblLayout w:type="fixed"/>
        <w:tblLook w:val="0400"/>
      </w:tblPr>
      <w:tblGrid>
        <w:gridCol w:w="173"/>
        <w:gridCol w:w="9000"/>
        <w:tblGridChange w:id="0">
          <w:tblGrid>
            <w:gridCol w:w="173"/>
            <w:gridCol w:w="9000"/>
          </w:tblGrid>
        </w:tblGridChange>
      </w:tblGrid>
      <w:tr>
        <w:trPr>
          <w:cantSplit w:val="0"/>
          <w:tblHeader w:val="0"/>
        </w:trPr>
        <w:tc>
          <w:tcPr>
            <w:tcBorders>
              <w:top w:color="cfe1e8" w:space="0" w:sz="6" w:val="single"/>
              <w:left w:color="cfe1e8" w:space="0" w:sz="6" w:val="single"/>
              <w:bottom w:color="cfe1e8" w:space="0" w:sz="6" w:val="single"/>
              <w:right w:color="cfe1e8" w:space="0" w:sz="6" w:val="single"/>
            </w:tcBorders>
            <w:shd w:fill="008c95" w:val="clear"/>
            <w:vAlign w:val="center"/>
          </w:tcPr>
          <w:p w:rsidR="00000000" w:rsidDel="00000000" w:rsidP="00000000" w:rsidRDefault="00000000" w:rsidRPr="00000000" w14:paraId="00000063">
            <w:pPr>
              <w:rPr/>
            </w:pPr>
            <w:r w:rsidDel="00000000" w:rsidR="00000000" w:rsidRPr="00000000">
              <w:rPr>
                <w:rtl w:val="0"/>
              </w:rPr>
            </w:r>
          </w:p>
        </w:tc>
        <w:tc>
          <w:tcPr>
            <w:tcBorders>
              <w:top w:color="cfe1e8" w:space="0" w:sz="6" w:val="single"/>
              <w:left w:color="cfe1e8" w:space="0" w:sz="6" w:val="single"/>
              <w:bottom w:color="cfe1e8" w:space="0" w:sz="6" w:val="single"/>
              <w:right w:color="cfe1e8" w:space="0" w:sz="6" w:val="single"/>
            </w:tcBorders>
            <w:shd w:fill="f4fafb" w:val="clear"/>
            <w:vAlign w:val="center"/>
          </w:tcPr>
          <w:p w:rsidR="00000000" w:rsidDel="00000000" w:rsidP="00000000" w:rsidRDefault="00000000" w:rsidRPr="00000000" w14:paraId="00000064">
            <w:pPr>
              <w:spacing w:after="20" w:lineRule="auto"/>
              <w:rPr/>
            </w:pPr>
            <w:r w:rsidDel="00000000" w:rsidR="00000000" w:rsidRPr="00000000">
              <w:rPr>
                <w:rFonts w:ascii="Aptos" w:cs="Aptos" w:eastAsia="Aptos" w:hAnsi="Aptos"/>
                <w:b w:val="1"/>
                <w:bCs w:val="1"/>
                <w:color w:val="008c95"/>
                <w:sz w:val="21"/>
                <w:szCs w:val="21"/>
                <w:rtl w:val="0"/>
              </w:rPr>
              <w:t xml:space="preserve">Pérennité</w:t>
            </w:r>
            <w:r w:rsidDel="00000000" w:rsidR="00000000" w:rsidRPr="00000000">
              <w:rPr>
                <w:rtl w:val="0"/>
              </w:rPr>
            </w:r>
          </w:p>
          <w:p w:rsidR="00000000" w:rsidDel="00000000" w:rsidP="00000000" w:rsidRDefault="00000000" w:rsidRPr="00000000" w14:paraId="00000065">
            <w:pPr>
              <w:spacing w:after="20" w:line="252.00000000000003" w:lineRule="auto"/>
              <w:rPr/>
            </w:pPr>
            <w:r w:rsidDel="00000000" w:rsidR="00000000" w:rsidRPr="00000000">
              <w:rPr>
                <w:rFonts w:ascii="Aptos" w:cs="Aptos" w:eastAsia="Aptos" w:hAnsi="Aptos"/>
                <w:color w:val="102a43"/>
                <w:sz w:val="19"/>
                <w:szCs w:val="19"/>
                <w:rtl w:val="0"/>
              </w:rPr>
              <w:t xml:space="preserve">La checklist prolonge l’action de sensibilisation après le diagnostic : l’utilisateur peut revenir sur la plateforme, suivre ses progrès et adapter son organisation.</w:t>
            </w:r>
            <w:r w:rsidDel="00000000" w:rsidR="00000000" w:rsidRPr="00000000">
              <w:rPr>
                <w:rtl w:val="0"/>
              </w:rPr>
            </w:r>
          </w:p>
        </w:tc>
      </w:tr>
    </w:tbl>
    <w:p w:rsidR="00000000" w:rsidDel="00000000" w:rsidP="00000000" w:rsidRDefault="00000000" w:rsidRPr="00000000" w14:paraId="00000066">
      <w:pPr>
        <w:spacing w:after="20" w:lineRule="auto"/>
        <w:rPr/>
      </w:pP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keepNext w:val="1"/>
        <w:spacing w:after="60" w:before="0" w:lineRule="auto"/>
        <w:rPr/>
      </w:pPr>
      <w:r w:rsidDel="00000000" w:rsidR="00000000" w:rsidRPr="00000000">
        <w:rPr>
          <w:rFonts w:ascii="Aptos" w:cs="Aptos" w:eastAsia="Aptos" w:hAnsi="Aptos"/>
          <w:b w:val="1"/>
          <w:bCs w:val="1"/>
          <w:color w:val="008c95"/>
          <w:sz w:val="36"/>
          <w:szCs w:val="36"/>
          <w:rtl w:val="0"/>
        </w:rPr>
        <w:t xml:space="preserve">6. </w:t>
      </w:r>
      <w:r w:rsidDel="00000000" w:rsidR="00000000" w:rsidRPr="00000000">
        <w:rPr>
          <w:rFonts w:ascii="Aptos" w:cs="Aptos" w:eastAsia="Aptos" w:hAnsi="Aptos"/>
          <w:b w:val="1"/>
          <w:bCs w:val="1"/>
          <w:color w:val="102a43"/>
          <w:sz w:val="36"/>
          <w:szCs w:val="36"/>
          <w:rtl w:val="0"/>
        </w:rPr>
        <w:t xml:space="preserve">Kit d’urgence personnalisé</w:t>
      </w:r>
      <w:r w:rsidDel="00000000" w:rsidR="00000000" w:rsidRPr="00000000">
        <w:rPr>
          <w:rtl w:val="0"/>
        </w:rPr>
      </w:r>
    </w:p>
    <w:p w:rsidR="00000000" w:rsidDel="00000000" w:rsidP="00000000" w:rsidRDefault="00000000" w:rsidRPr="00000000" w14:paraId="00000069">
      <w:pPr>
        <w:keepNext w:val="1"/>
        <w:spacing w:after="160" w:lineRule="auto"/>
        <w:rPr/>
      </w:pPr>
      <w:r w:rsidDel="00000000" w:rsidR="00000000" w:rsidRPr="00000000">
        <w:rPr>
          <w:rFonts w:ascii="Aptos" w:cs="Aptos" w:eastAsia="Aptos" w:hAnsi="Aptos"/>
          <w:i w:val="1"/>
          <w:iCs w:val="1"/>
          <w:color w:val="52677a"/>
          <w:sz w:val="20"/>
          <w:szCs w:val="20"/>
          <w:rtl w:val="0"/>
        </w:rPr>
        <w:t xml:space="preserve">Adapter la préparation à la composition réelle du foyer.</w:t>
      </w:r>
      <w:r w:rsidDel="00000000" w:rsidR="00000000" w:rsidRPr="00000000">
        <w:rPr>
          <w:rtl w:val="0"/>
        </w:rPr>
      </w:r>
    </w:p>
    <w:p w:rsidR="00000000" w:rsidDel="00000000" w:rsidP="00000000" w:rsidRDefault="00000000" w:rsidRPr="00000000" w14:paraId="0000006A">
      <w:pPr>
        <w:spacing w:after="60" w:lineRule="auto"/>
        <w:jc w:val="center"/>
        <w:rPr/>
      </w:pPr>
      <w:r w:rsidDel="00000000" w:rsidR="00000000" w:rsidRPr="00000000">
        <w:rPr/>
        <w:drawing>
          <wp:inline distB="0" distT="0" distL="114300" distR="114300">
            <wp:extent cx="5897880" cy="4146947"/>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897880" cy="4146947"/>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140" w:lineRule="auto"/>
        <w:jc w:val="center"/>
        <w:rPr/>
      </w:pPr>
      <w:r w:rsidDel="00000000" w:rsidR="00000000" w:rsidRPr="00000000">
        <w:rPr>
          <w:rFonts w:ascii="Aptos" w:cs="Aptos" w:eastAsia="Aptos" w:hAnsi="Aptos"/>
          <w:i w:val="1"/>
          <w:iCs w:val="1"/>
          <w:color w:val="52677a"/>
          <w:sz w:val="17"/>
          <w:szCs w:val="17"/>
          <w:rtl w:val="0"/>
        </w:rPr>
        <w:t xml:space="preserve">Capture 6 - Générateur de kit : composition du foyer et catégories de besoins.</w:t>
      </w:r>
      <w:r w:rsidDel="00000000" w:rsidR="00000000" w:rsidRPr="00000000">
        <w:rPr>
          <w:rtl w:val="0"/>
        </w:rPr>
      </w:r>
    </w:p>
    <w:p w:rsidR="00000000" w:rsidDel="00000000" w:rsidP="00000000" w:rsidRDefault="00000000" w:rsidRPr="00000000" w14:paraId="0000006C">
      <w:pPr>
        <w:pStyle w:val="Heading2"/>
        <w:keepNext w:val="1"/>
        <w:spacing w:after="60" w:before="0" w:line="259" w:lineRule="auto"/>
        <w:rPr/>
      </w:pPr>
      <w:r w:rsidDel="00000000" w:rsidR="00000000" w:rsidRPr="00000000">
        <w:rPr>
          <w:rFonts w:ascii="Aptos" w:cs="Aptos" w:eastAsia="Aptos" w:hAnsi="Aptos"/>
          <w:color w:val="102a43"/>
          <w:sz w:val="21"/>
          <w:szCs w:val="21"/>
          <w:rtl w:val="0"/>
        </w:rPr>
        <w:t xml:space="preserve">Personnalisation proposée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nombre d’adultes, d’enfants, de personnes âgées et d’animaux ;</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prise en compte de besoins particuliers sans demander de détail médical ;</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catégories eau et alimentation, communication, énergie, santé et documents ;</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quantités et formulations en cours de validation éditoriale à partir de références institutionnelles.</w:t>
      </w:r>
      <w:r w:rsidDel="00000000" w:rsidR="00000000" w:rsidRPr="00000000">
        <w:rPr>
          <w:rtl w:val="0"/>
        </w:rPr>
      </w:r>
    </w:p>
    <w:tbl>
      <w:tblPr>
        <w:tblStyle w:val="Table9"/>
        <w:tblW w:w="9173.0" w:type="dxa"/>
        <w:jc w:val="center"/>
        <w:tblLayout w:type="fixed"/>
        <w:tblLook w:val="0400"/>
      </w:tblPr>
      <w:tblGrid>
        <w:gridCol w:w="173"/>
        <w:gridCol w:w="9000"/>
        <w:tblGridChange w:id="0">
          <w:tblGrid>
            <w:gridCol w:w="173"/>
            <w:gridCol w:w="9000"/>
          </w:tblGrid>
        </w:tblGridChange>
      </w:tblGrid>
      <w:tr>
        <w:trPr>
          <w:cantSplit w:val="0"/>
          <w:tblHeader w:val="0"/>
        </w:trPr>
        <w:tc>
          <w:tcPr>
            <w:tcBorders>
              <w:top w:color="cfe1e8" w:space="0" w:sz="6" w:val="single"/>
              <w:left w:color="cfe1e8" w:space="0" w:sz="6" w:val="single"/>
              <w:bottom w:color="cfe1e8" w:space="0" w:sz="6" w:val="single"/>
              <w:right w:color="cfe1e8" w:space="0" w:sz="6" w:val="single"/>
            </w:tcBorders>
            <w:shd w:fill="008c95" w:val="clear"/>
            <w:vAlign w:val="center"/>
          </w:tcPr>
          <w:p w:rsidR="00000000" w:rsidDel="00000000" w:rsidP="00000000" w:rsidRDefault="00000000" w:rsidRPr="00000000" w14:paraId="00000071">
            <w:pPr>
              <w:rPr/>
            </w:pPr>
            <w:r w:rsidDel="00000000" w:rsidR="00000000" w:rsidRPr="00000000">
              <w:rPr>
                <w:rtl w:val="0"/>
              </w:rPr>
            </w:r>
          </w:p>
        </w:tc>
        <w:tc>
          <w:tcPr>
            <w:tcBorders>
              <w:top w:color="cfe1e8" w:space="0" w:sz="6" w:val="single"/>
              <w:left w:color="cfe1e8" w:space="0" w:sz="6" w:val="single"/>
              <w:bottom w:color="cfe1e8" w:space="0" w:sz="6" w:val="single"/>
              <w:right w:color="cfe1e8" w:space="0" w:sz="6" w:val="single"/>
            </w:tcBorders>
            <w:shd w:fill="f4fafb" w:val="clear"/>
            <w:vAlign w:val="center"/>
          </w:tcPr>
          <w:p w:rsidR="00000000" w:rsidDel="00000000" w:rsidP="00000000" w:rsidRDefault="00000000" w:rsidRPr="00000000" w14:paraId="00000072">
            <w:pPr>
              <w:spacing w:after="20" w:lineRule="auto"/>
              <w:rPr/>
            </w:pPr>
            <w:r w:rsidDel="00000000" w:rsidR="00000000" w:rsidRPr="00000000">
              <w:rPr>
                <w:rFonts w:ascii="Aptos" w:cs="Aptos" w:eastAsia="Aptos" w:hAnsi="Aptos"/>
                <w:b w:val="1"/>
                <w:bCs w:val="1"/>
                <w:color w:val="008c95"/>
                <w:sz w:val="21"/>
                <w:szCs w:val="21"/>
                <w:rtl w:val="0"/>
              </w:rPr>
              <w:t xml:space="preserve">Protection des données</w:t>
            </w:r>
            <w:r w:rsidDel="00000000" w:rsidR="00000000" w:rsidRPr="00000000">
              <w:rPr>
                <w:rtl w:val="0"/>
              </w:rPr>
            </w:r>
          </w:p>
          <w:p w:rsidR="00000000" w:rsidDel="00000000" w:rsidP="00000000" w:rsidRDefault="00000000" w:rsidRPr="00000000" w14:paraId="00000073">
            <w:pPr>
              <w:spacing w:after="20" w:line="252.00000000000003" w:lineRule="auto"/>
              <w:rPr/>
            </w:pPr>
            <w:r w:rsidDel="00000000" w:rsidR="00000000" w:rsidRPr="00000000">
              <w:rPr>
                <w:rFonts w:ascii="Aptos" w:cs="Aptos" w:eastAsia="Aptos" w:hAnsi="Aptos"/>
                <w:color w:val="102a43"/>
                <w:sz w:val="19"/>
                <w:szCs w:val="19"/>
                <w:rtl w:val="0"/>
              </w:rPr>
              <w:t xml:space="preserve">La personnalisation est réalisée localement. Le prototype n'exige ni identité, ni adresse, ni donnée de santé détaillée. Les besoins particuliers sont pris en compte sous la forme d’un simple indicateur.</w:t>
            </w:r>
            <w:r w:rsidDel="00000000" w:rsidR="00000000" w:rsidRPr="00000000">
              <w:rPr>
                <w:rtl w:val="0"/>
              </w:rPr>
            </w:r>
          </w:p>
        </w:tc>
      </w:tr>
    </w:tbl>
    <w:p w:rsidR="00000000" w:rsidDel="00000000" w:rsidP="00000000" w:rsidRDefault="00000000" w:rsidRPr="00000000" w14:paraId="00000074">
      <w:pPr>
        <w:spacing w:after="20" w:lineRule="auto"/>
        <w:rPr/>
      </w:pPr>
      <w:r w:rsidDel="00000000" w:rsidR="00000000" w:rsidRPr="00000000">
        <w:rPr>
          <w:rtl w:val="0"/>
        </w:rPr>
      </w:r>
    </w:p>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keepNext w:val="1"/>
        <w:spacing w:after="60" w:before="0" w:lineRule="auto"/>
        <w:rPr/>
      </w:pPr>
      <w:r w:rsidDel="00000000" w:rsidR="00000000" w:rsidRPr="00000000">
        <w:rPr>
          <w:rFonts w:ascii="Aptos" w:cs="Aptos" w:eastAsia="Aptos" w:hAnsi="Aptos"/>
          <w:b w:val="1"/>
          <w:bCs w:val="1"/>
          <w:color w:val="008c95"/>
          <w:sz w:val="36"/>
          <w:szCs w:val="36"/>
          <w:rtl w:val="0"/>
        </w:rPr>
        <w:t xml:space="preserve">7. </w:t>
      </w:r>
      <w:r w:rsidDel="00000000" w:rsidR="00000000" w:rsidRPr="00000000">
        <w:rPr>
          <w:rFonts w:ascii="Aptos" w:cs="Aptos" w:eastAsia="Aptos" w:hAnsi="Aptos"/>
          <w:b w:val="1"/>
          <w:bCs w:val="1"/>
          <w:color w:val="102a43"/>
          <w:sz w:val="36"/>
          <w:szCs w:val="36"/>
          <w:rtl w:val="0"/>
        </w:rPr>
        <w:t xml:space="preserve">Fiches pratiques et sources</w:t>
      </w:r>
      <w:r w:rsidDel="00000000" w:rsidR="00000000" w:rsidRPr="00000000">
        <w:rPr>
          <w:rtl w:val="0"/>
        </w:rPr>
      </w:r>
    </w:p>
    <w:p w:rsidR="00000000" w:rsidDel="00000000" w:rsidP="00000000" w:rsidRDefault="00000000" w:rsidRPr="00000000" w14:paraId="00000077">
      <w:pPr>
        <w:keepNext w:val="1"/>
        <w:spacing w:after="160" w:lineRule="auto"/>
        <w:rPr/>
      </w:pPr>
      <w:r w:rsidDel="00000000" w:rsidR="00000000" w:rsidRPr="00000000">
        <w:rPr>
          <w:rFonts w:ascii="Aptos" w:cs="Aptos" w:eastAsia="Aptos" w:hAnsi="Aptos"/>
          <w:i w:val="1"/>
          <w:iCs w:val="1"/>
          <w:color w:val="52677a"/>
          <w:sz w:val="20"/>
          <w:szCs w:val="20"/>
          <w:rtl w:val="0"/>
        </w:rPr>
        <w:t xml:space="preserve">Rendre la recommandation vérifiable et faciliter l’accès aux ressources de référence.</w:t>
      </w:r>
      <w:r w:rsidDel="00000000" w:rsidR="00000000" w:rsidRPr="00000000">
        <w:rPr>
          <w:rtl w:val="0"/>
        </w:rPr>
      </w:r>
    </w:p>
    <w:p w:rsidR="00000000" w:rsidDel="00000000" w:rsidP="00000000" w:rsidRDefault="00000000" w:rsidRPr="00000000" w14:paraId="00000078">
      <w:pPr>
        <w:spacing w:after="60" w:lineRule="auto"/>
        <w:jc w:val="center"/>
        <w:rPr/>
      </w:pPr>
      <w:r w:rsidDel="00000000" w:rsidR="00000000" w:rsidRPr="00000000">
        <w:rPr/>
        <w:drawing>
          <wp:inline distB="0" distT="0" distL="114300" distR="114300">
            <wp:extent cx="5897880" cy="4146947"/>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897880" cy="4146947"/>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140" w:lineRule="auto"/>
        <w:jc w:val="center"/>
        <w:rPr/>
      </w:pPr>
      <w:r w:rsidDel="00000000" w:rsidR="00000000" w:rsidRPr="00000000">
        <w:rPr>
          <w:rFonts w:ascii="Aptos" w:cs="Aptos" w:eastAsia="Aptos" w:hAnsi="Aptos"/>
          <w:i w:val="1"/>
          <w:iCs w:val="1"/>
          <w:color w:val="52677a"/>
          <w:sz w:val="17"/>
          <w:szCs w:val="17"/>
          <w:rtl w:val="0"/>
        </w:rPr>
        <w:t xml:space="preserve">Capture 7 - Ressources : cyclone, fortes pluies et inondation, alertes officielles et kit d’urgence.</w:t>
      </w:r>
      <w:r w:rsidDel="00000000" w:rsidR="00000000" w:rsidRPr="00000000">
        <w:rPr>
          <w:rtl w:val="0"/>
        </w:rPr>
      </w:r>
    </w:p>
    <w:p w:rsidR="00000000" w:rsidDel="00000000" w:rsidP="00000000" w:rsidRDefault="00000000" w:rsidRPr="00000000" w14:paraId="0000007A">
      <w:pPr>
        <w:pStyle w:val="Heading2"/>
        <w:keepNext w:val="1"/>
        <w:spacing w:after="60" w:before="0" w:line="259" w:lineRule="auto"/>
        <w:rPr/>
      </w:pPr>
      <w:r w:rsidDel="00000000" w:rsidR="00000000" w:rsidRPr="00000000">
        <w:rPr>
          <w:rFonts w:ascii="Aptos" w:cs="Aptos" w:eastAsia="Aptos" w:hAnsi="Aptos"/>
          <w:color w:val="102a43"/>
          <w:sz w:val="21"/>
          <w:szCs w:val="21"/>
          <w:rtl w:val="0"/>
        </w:rPr>
        <w:t xml:space="preserve">Références déjà structurées dans le prototype</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Préfecture de Mayotte - ressources relatives aux risques météorologiques ;</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Sécurité civile - recommandations relatives au kit d’urgence ;</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FR-Alert - information sur le vecteur d’alerte ;</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Croix-Rouge française - ressources relatives au sac ou kit d’urgence.</w:t>
      </w:r>
      <w:r w:rsidDel="00000000" w:rsidR="00000000" w:rsidRPr="00000000">
        <w:rPr>
          <w:rtl w:val="0"/>
        </w:rPr>
      </w:r>
    </w:p>
    <w:tbl>
      <w:tblPr>
        <w:tblStyle w:val="Table10"/>
        <w:tblW w:w="9173.0" w:type="dxa"/>
        <w:jc w:val="center"/>
        <w:tblLayout w:type="fixed"/>
        <w:tblLook w:val="0400"/>
      </w:tblPr>
      <w:tblGrid>
        <w:gridCol w:w="173"/>
        <w:gridCol w:w="9000"/>
        <w:tblGridChange w:id="0">
          <w:tblGrid>
            <w:gridCol w:w="173"/>
            <w:gridCol w:w="9000"/>
          </w:tblGrid>
        </w:tblGridChange>
      </w:tblGrid>
      <w:tr>
        <w:trPr>
          <w:cantSplit w:val="0"/>
          <w:tblHeader w:val="0"/>
        </w:trPr>
        <w:tc>
          <w:tcPr>
            <w:tcBorders>
              <w:top w:color="cfe1e8" w:space="0" w:sz="6" w:val="single"/>
              <w:left w:color="cfe1e8" w:space="0" w:sz="6" w:val="single"/>
              <w:bottom w:color="cfe1e8" w:space="0" w:sz="6" w:val="single"/>
              <w:right w:color="cfe1e8" w:space="0" w:sz="6" w:val="single"/>
            </w:tcBorders>
            <w:shd w:fill="008c95" w:val="clear"/>
            <w:vAlign w:val="center"/>
          </w:tcPr>
          <w:p w:rsidR="00000000" w:rsidDel="00000000" w:rsidP="00000000" w:rsidRDefault="00000000" w:rsidRPr="00000000" w14:paraId="0000007F">
            <w:pPr>
              <w:rPr/>
            </w:pPr>
            <w:r w:rsidDel="00000000" w:rsidR="00000000" w:rsidRPr="00000000">
              <w:rPr>
                <w:rtl w:val="0"/>
              </w:rPr>
            </w:r>
          </w:p>
        </w:tc>
        <w:tc>
          <w:tcPr>
            <w:tcBorders>
              <w:top w:color="cfe1e8" w:space="0" w:sz="6" w:val="single"/>
              <w:left w:color="cfe1e8" w:space="0" w:sz="6" w:val="single"/>
              <w:bottom w:color="cfe1e8" w:space="0" w:sz="6" w:val="single"/>
              <w:right w:color="cfe1e8" w:space="0" w:sz="6" w:val="single"/>
            </w:tcBorders>
            <w:shd w:fill="f4fafb" w:val="clear"/>
            <w:vAlign w:val="center"/>
          </w:tcPr>
          <w:p w:rsidR="00000000" w:rsidDel="00000000" w:rsidP="00000000" w:rsidRDefault="00000000" w:rsidRPr="00000000" w14:paraId="00000080">
            <w:pPr>
              <w:spacing w:after="20" w:lineRule="auto"/>
              <w:rPr/>
            </w:pPr>
            <w:r w:rsidDel="00000000" w:rsidR="00000000" w:rsidRPr="00000000">
              <w:rPr>
                <w:rFonts w:ascii="Aptos" w:cs="Aptos" w:eastAsia="Aptos" w:hAnsi="Aptos"/>
                <w:b w:val="1"/>
                <w:bCs w:val="1"/>
                <w:color w:val="008c95"/>
                <w:sz w:val="21"/>
                <w:szCs w:val="21"/>
                <w:rtl w:val="0"/>
              </w:rPr>
              <w:t xml:space="preserve">Gouvernance éditoriale</w:t>
            </w:r>
            <w:r w:rsidDel="00000000" w:rsidR="00000000" w:rsidRPr="00000000">
              <w:rPr>
                <w:rtl w:val="0"/>
              </w:rPr>
            </w:r>
          </w:p>
          <w:p w:rsidR="00000000" w:rsidDel="00000000" w:rsidP="00000000" w:rsidRDefault="00000000" w:rsidRPr="00000000" w14:paraId="00000081">
            <w:pPr>
              <w:spacing w:after="20" w:line="252.00000000000003" w:lineRule="auto"/>
              <w:rPr/>
            </w:pPr>
            <w:r w:rsidDel="00000000" w:rsidR="00000000" w:rsidRPr="00000000">
              <w:rPr>
                <w:rFonts w:ascii="Aptos" w:cs="Aptos" w:eastAsia="Aptos" w:hAnsi="Aptos"/>
                <w:color w:val="102a43"/>
                <w:sz w:val="19"/>
                <w:szCs w:val="19"/>
                <w:rtl w:val="0"/>
              </w:rPr>
              <w:t xml:space="preserve">Chaque contenu sensible sera rattaché à une source, accompagné d’une date de vérification et révisable sans modifier le cœur technique de l’application.</w:t>
            </w:r>
            <w:r w:rsidDel="00000000" w:rsidR="00000000" w:rsidRPr="00000000">
              <w:rPr>
                <w:rtl w:val="0"/>
              </w:rPr>
            </w:r>
          </w:p>
        </w:tc>
      </w:tr>
    </w:tbl>
    <w:p w:rsidR="00000000" w:rsidDel="00000000" w:rsidP="00000000" w:rsidRDefault="00000000" w:rsidRPr="00000000" w14:paraId="00000082">
      <w:pPr>
        <w:spacing w:after="20" w:lineRule="auto"/>
        <w:rPr/>
      </w:pPr>
      <w:r w:rsidDel="00000000" w:rsidR="00000000" w:rsidRPr="00000000">
        <w:rPr>
          <w:rtl w:val="0"/>
        </w:rPr>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keepNext w:val="1"/>
        <w:spacing w:after="60" w:before="0" w:lineRule="auto"/>
        <w:rPr/>
      </w:pPr>
      <w:r w:rsidDel="00000000" w:rsidR="00000000" w:rsidRPr="00000000">
        <w:rPr>
          <w:rFonts w:ascii="Aptos" w:cs="Aptos" w:eastAsia="Aptos" w:hAnsi="Aptos"/>
          <w:b w:val="1"/>
          <w:bCs w:val="1"/>
          <w:color w:val="008c95"/>
          <w:sz w:val="36"/>
          <w:szCs w:val="36"/>
          <w:rtl w:val="0"/>
        </w:rPr>
        <w:t xml:space="preserve">8. </w:t>
      </w:r>
      <w:r w:rsidDel="00000000" w:rsidR="00000000" w:rsidRPr="00000000">
        <w:rPr>
          <w:rFonts w:ascii="Aptos" w:cs="Aptos" w:eastAsia="Aptos" w:hAnsi="Aptos"/>
          <w:b w:val="1"/>
          <w:bCs w:val="1"/>
          <w:color w:val="102a43"/>
          <w:sz w:val="36"/>
          <w:szCs w:val="36"/>
          <w:rtl w:val="0"/>
        </w:rPr>
        <w:t xml:space="preserve">Niveau de maturité du démonstrateur</w:t>
      </w:r>
      <w:r w:rsidDel="00000000" w:rsidR="00000000" w:rsidRPr="00000000">
        <w:rPr>
          <w:rtl w:val="0"/>
        </w:rPr>
      </w:r>
    </w:p>
    <w:p w:rsidR="00000000" w:rsidDel="00000000" w:rsidP="00000000" w:rsidRDefault="00000000" w:rsidRPr="00000000" w14:paraId="00000085">
      <w:pPr>
        <w:keepNext w:val="1"/>
        <w:spacing w:after="160" w:lineRule="auto"/>
        <w:rPr/>
      </w:pPr>
      <w:r w:rsidDel="00000000" w:rsidR="00000000" w:rsidRPr="00000000">
        <w:rPr>
          <w:rFonts w:ascii="Aptos" w:cs="Aptos" w:eastAsia="Aptos" w:hAnsi="Aptos"/>
          <w:i w:val="1"/>
          <w:iCs w:val="1"/>
          <w:color w:val="52677a"/>
          <w:sz w:val="20"/>
          <w:szCs w:val="20"/>
          <w:rtl w:val="0"/>
        </w:rPr>
        <w:t xml:space="preserve">Un socle fonctionnel déjà visible, à consolider avant l’ouverture publique.</w:t>
      </w:r>
      <w:r w:rsidDel="00000000" w:rsidR="00000000" w:rsidRPr="00000000">
        <w:rPr>
          <w:rtl w:val="0"/>
        </w:rPr>
      </w:r>
    </w:p>
    <w:tbl>
      <w:tblPr>
        <w:tblStyle w:val="Table11"/>
        <w:tblW w:w="9360.0" w:type="dxa"/>
        <w:jc w:val="center"/>
        <w:tblLayout w:type="fixed"/>
        <w:tblLook w:val="0400"/>
      </w:tblPr>
      <w:tblGrid>
        <w:gridCol w:w="2952"/>
        <w:gridCol w:w="1944"/>
        <w:gridCol w:w="4464"/>
        <w:tblGridChange w:id="0">
          <w:tblGrid>
            <w:gridCol w:w="2952"/>
            <w:gridCol w:w="1944"/>
            <w:gridCol w:w="4464"/>
          </w:tblGrid>
        </w:tblGridChange>
      </w:tblGrid>
      <w:tr>
        <w:trPr>
          <w:cantSplit w:val="0"/>
          <w:tblHeader w:val="0"/>
        </w:trPr>
        <w:tc>
          <w:tcPr>
            <w:tcBorders>
              <w:top w:color="008c95" w:space="0" w:sz="6" w:val="single"/>
              <w:left w:color="008c95" w:space="0" w:sz="6" w:val="single"/>
              <w:bottom w:color="008c95" w:space="0" w:sz="6" w:val="single"/>
              <w:right w:color="008c95" w:space="0" w:sz="6" w:val="single"/>
            </w:tcBorders>
            <w:shd w:fill="008c95" w:val="clear"/>
          </w:tcPr>
          <w:p w:rsidR="00000000" w:rsidDel="00000000" w:rsidP="00000000" w:rsidRDefault="00000000" w:rsidRPr="00000000" w14:paraId="00000086">
            <w:pPr>
              <w:rPr/>
            </w:pPr>
            <w:r w:rsidDel="00000000" w:rsidR="00000000" w:rsidRPr="00000000">
              <w:rPr>
                <w:rFonts w:ascii="Aptos" w:cs="Aptos" w:eastAsia="Aptos" w:hAnsi="Aptos"/>
                <w:b w:val="1"/>
                <w:bCs w:val="1"/>
                <w:color w:val="ffffff"/>
                <w:sz w:val="18"/>
                <w:szCs w:val="18"/>
                <w:rtl w:val="0"/>
              </w:rPr>
              <w:t xml:space="preserve">Fonction</w:t>
            </w:r>
            <w:r w:rsidDel="00000000" w:rsidR="00000000" w:rsidRPr="00000000">
              <w:rPr>
                <w:rtl w:val="0"/>
              </w:rPr>
            </w:r>
          </w:p>
        </w:tc>
        <w:tc>
          <w:tcPr>
            <w:tcBorders>
              <w:top w:color="008c95" w:space="0" w:sz="6" w:val="single"/>
              <w:left w:color="008c95" w:space="0" w:sz="6" w:val="single"/>
              <w:bottom w:color="008c95" w:space="0" w:sz="6" w:val="single"/>
              <w:right w:color="008c95" w:space="0" w:sz="6" w:val="single"/>
            </w:tcBorders>
            <w:shd w:fill="008c95" w:val="clear"/>
          </w:tcPr>
          <w:p w:rsidR="00000000" w:rsidDel="00000000" w:rsidP="00000000" w:rsidRDefault="00000000" w:rsidRPr="00000000" w14:paraId="00000087">
            <w:pPr>
              <w:rPr/>
            </w:pPr>
            <w:r w:rsidDel="00000000" w:rsidR="00000000" w:rsidRPr="00000000">
              <w:rPr>
                <w:rFonts w:ascii="Aptos" w:cs="Aptos" w:eastAsia="Aptos" w:hAnsi="Aptos"/>
                <w:b w:val="1"/>
                <w:bCs w:val="1"/>
                <w:color w:val="ffffff"/>
                <w:sz w:val="18"/>
                <w:szCs w:val="18"/>
                <w:rtl w:val="0"/>
              </w:rPr>
              <w:t xml:space="preserve">Statut</w:t>
            </w:r>
            <w:r w:rsidDel="00000000" w:rsidR="00000000" w:rsidRPr="00000000">
              <w:rPr>
                <w:rtl w:val="0"/>
              </w:rPr>
            </w:r>
          </w:p>
        </w:tc>
        <w:tc>
          <w:tcPr>
            <w:tcBorders>
              <w:top w:color="008c95" w:space="0" w:sz="6" w:val="single"/>
              <w:left w:color="008c95" w:space="0" w:sz="6" w:val="single"/>
              <w:bottom w:color="008c95" w:space="0" w:sz="6" w:val="single"/>
              <w:right w:color="008c95" w:space="0" w:sz="6" w:val="single"/>
            </w:tcBorders>
            <w:shd w:fill="008c95" w:val="clear"/>
          </w:tcPr>
          <w:p w:rsidR="00000000" w:rsidDel="00000000" w:rsidP="00000000" w:rsidRDefault="00000000" w:rsidRPr="00000000" w14:paraId="00000088">
            <w:pPr>
              <w:rPr/>
            </w:pPr>
            <w:r w:rsidDel="00000000" w:rsidR="00000000" w:rsidRPr="00000000">
              <w:rPr>
                <w:rFonts w:ascii="Aptos" w:cs="Aptos" w:eastAsia="Aptos" w:hAnsi="Aptos"/>
                <w:b w:val="1"/>
                <w:bCs w:val="1"/>
                <w:color w:val="ffffff"/>
                <w:sz w:val="18"/>
                <w:szCs w:val="18"/>
                <w:rtl w:val="0"/>
              </w:rPr>
              <w:t xml:space="preserve">Observation</w:t>
            </w:r>
            <w:r w:rsidDel="00000000" w:rsidR="00000000" w:rsidRPr="00000000">
              <w:rPr>
                <w:rtl w:val="0"/>
              </w:rPr>
            </w:r>
          </w:p>
        </w:tc>
      </w:tr>
      <w:tr>
        <w:trPr>
          <w:cantSplit w:val="0"/>
          <w:tblHeader w:val="0"/>
        </w:trPr>
        <w:tc>
          <w:tcPr>
            <w:tcBorders>
              <w:top w:color="cfe1e8" w:space="0" w:sz="4" w:val="single"/>
              <w:left w:color="cfe1e8" w:space="0" w:sz="4" w:val="single"/>
              <w:bottom w:color="cfe1e8" w:space="0" w:sz="4" w:val="single"/>
              <w:right w:color="cfe1e8" w:space="0" w:sz="4" w:val="single"/>
            </w:tcBorders>
            <w:shd w:fill="f4fafb" w:val="clear"/>
          </w:tcPr>
          <w:p w:rsidR="00000000" w:rsidDel="00000000" w:rsidP="00000000" w:rsidRDefault="00000000" w:rsidRPr="00000000" w14:paraId="00000089">
            <w:pPr>
              <w:spacing w:after="20" w:lineRule="auto"/>
              <w:rPr/>
            </w:pPr>
            <w:r w:rsidDel="00000000" w:rsidR="00000000" w:rsidRPr="00000000">
              <w:rPr>
                <w:rFonts w:ascii="Aptos" w:cs="Aptos" w:eastAsia="Aptos" w:hAnsi="Aptos"/>
                <w:b w:val="0"/>
                <w:bCs w:val="0"/>
                <w:color w:val="102a43"/>
                <w:sz w:val="17"/>
                <w:szCs w:val="17"/>
                <w:rtl w:val="0"/>
              </w:rPr>
              <w:t xml:space="preserve">Page d’accueil et navigation</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shd w:fill="f4fafb" w:val="clear"/>
          </w:tcPr>
          <w:p w:rsidR="00000000" w:rsidDel="00000000" w:rsidP="00000000" w:rsidRDefault="00000000" w:rsidRPr="00000000" w14:paraId="0000008A">
            <w:pPr>
              <w:spacing w:after="20" w:lineRule="auto"/>
              <w:rPr/>
            </w:pPr>
            <w:r w:rsidDel="00000000" w:rsidR="00000000" w:rsidRPr="00000000">
              <w:rPr>
                <w:rFonts w:ascii="Aptos" w:cs="Aptos" w:eastAsia="Aptos" w:hAnsi="Aptos"/>
                <w:b w:val="1"/>
                <w:bCs w:val="1"/>
                <w:color w:val="8bc34a"/>
                <w:sz w:val="17"/>
                <w:szCs w:val="17"/>
                <w:rtl w:val="0"/>
              </w:rPr>
              <w:t xml:space="preserve">Disponible</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shd w:fill="f4fafb" w:val="clear"/>
          </w:tcPr>
          <w:p w:rsidR="00000000" w:rsidDel="00000000" w:rsidP="00000000" w:rsidRDefault="00000000" w:rsidRPr="00000000" w14:paraId="0000008B">
            <w:pPr>
              <w:spacing w:after="20" w:lineRule="auto"/>
              <w:rPr/>
            </w:pPr>
            <w:r w:rsidDel="00000000" w:rsidR="00000000" w:rsidRPr="00000000">
              <w:rPr>
                <w:rFonts w:ascii="Aptos" w:cs="Aptos" w:eastAsia="Aptos" w:hAnsi="Aptos"/>
                <w:b w:val="0"/>
                <w:bCs w:val="0"/>
                <w:color w:val="102a43"/>
                <w:sz w:val="17"/>
                <w:szCs w:val="17"/>
                <w:rtl w:val="0"/>
              </w:rPr>
              <w:t xml:space="preserve">Parcours, promesse, confidentialité et accès aux modules visibles.</w:t>
            </w:r>
            <w:r w:rsidDel="00000000" w:rsidR="00000000" w:rsidRPr="00000000">
              <w:rPr>
                <w:rtl w:val="0"/>
              </w:rPr>
            </w:r>
          </w:p>
        </w:tc>
      </w:tr>
      <w:tr>
        <w:trPr>
          <w:cantSplit w:val="0"/>
          <w:tblHeader w:val="0"/>
        </w:trPr>
        <w:tc>
          <w:tcPr>
            <w:tcBorders>
              <w:top w:color="cfe1e8" w:space="0" w:sz="4" w:val="single"/>
              <w:left w:color="cfe1e8" w:space="0" w:sz="4" w:val="single"/>
              <w:bottom w:color="cfe1e8" w:space="0" w:sz="4" w:val="single"/>
              <w:right w:color="cfe1e8" w:space="0" w:sz="4" w:val="single"/>
            </w:tcBorders>
            <w:shd w:fill="ffffff" w:val="clear"/>
          </w:tcPr>
          <w:p w:rsidR="00000000" w:rsidDel="00000000" w:rsidP="00000000" w:rsidRDefault="00000000" w:rsidRPr="00000000" w14:paraId="0000008C">
            <w:pPr>
              <w:spacing w:after="20" w:lineRule="auto"/>
              <w:rPr/>
            </w:pPr>
            <w:r w:rsidDel="00000000" w:rsidR="00000000" w:rsidRPr="00000000">
              <w:rPr>
                <w:rFonts w:ascii="Aptos" w:cs="Aptos" w:eastAsia="Aptos" w:hAnsi="Aptos"/>
                <w:b w:val="0"/>
                <w:bCs w:val="0"/>
                <w:color w:val="102a43"/>
                <w:sz w:val="17"/>
                <w:szCs w:val="17"/>
                <w:rtl w:val="0"/>
              </w:rPr>
              <w:t xml:space="preserve">Diagnostic en 24 questions</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shd w:fill="ffffff" w:val="clear"/>
          </w:tcPr>
          <w:p w:rsidR="00000000" w:rsidDel="00000000" w:rsidP="00000000" w:rsidRDefault="00000000" w:rsidRPr="00000000" w14:paraId="0000008D">
            <w:pPr>
              <w:spacing w:after="20" w:lineRule="auto"/>
              <w:rPr/>
            </w:pPr>
            <w:r w:rsidDel="00000000" w:rsidR="00000000" w:rsidRPr="00000000">
              <w:rPr>
                <w:rFonts w:ascii="Aptos" w:cs="Aptos" w:eastAsia="Aptos" w:hAnsi="Aptos"/>
                <w:b w:val="1"/>
                <w:bCs w:val="1"/>
                <w:color w:val="8bc34a"/>
                <w:sz w:val="17"/>
                <w:szCs w:val="17"/>
                <w:rtl w:val="0"/>
              </w:rPr>
              <w:t xml:space="preserve">Disponible</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shd w:fill="ffffff" w:val="clear"/>
          </w:tcPr>
          <w:p w:rsidR="00000000" w:rsidDel="00000000" w:rsidP="00000000" w:rsidRDefault="00000000" w:rsidRPr="00000000" w14:paraId="0000008E">
            <w:pPr>
              <w:spacing w:after="20" w:lineRule="auto"/>
              <w:rPr/>
            </w:pPr>
            <w:r w:rsidDel="00000000" w:rsidR="00000000" w:rsidRPr="00000000">
              <w:rPr>
                <w:rFonts w:ascii="Aptos" w:cs="Aptos" w:eastAsia="Aptos" w:hAnsi="Aptos"/>
                <w:b w:val="0"/>
                <w:bCs w:val="0"/>
                <w:color w:val="102a43"/>
                <w:sz w:val="17"/>
                <w:szCs w:val="17"/>
                <w:rtl w:val="0"/>
              </w:rPr>
              <w:t xml:space="preserve">Navigation par six domaines et réponses graduées.</w:t>
            </w:r>
            <w:r w:rsidDel="00000000" w:rsidR="00000000" w:rsidRPr="00000000">
              <w:rPr>
                <w:rtl w:val="0"/>
              </w:rPr>
            </w:r>
          </w:p>
        </w:tc>
      </w:tr>
      <w:tr>
        <w:trPr>
          <w:cantSplit w:val="0"/>
          <w:tblHeader w:val="0"/>
        </w:trPr>
        <w:tc>
          <w:tcPr>
            <w:tcBorders>
              <w:top w:color="cfe1e8" w:space="0" w:sz="4" w:val="single"/>
              <w:left w:color="cfe1e8" w:space="0" w:sz="4" w:val="single"/>
              <w:bottom w:color="cfe1e8" w:space="0" w:sz="4" w:val="single"/>
              <w:right w:color="cfe1e8" w:space="0" w:sz="4" w:val="single"/>
            </w:tcBorders>
            <w:shd w:fill="f4fafb" w:val="clear"/>
          </w:tcPr>
          <w:p w:rsidR="00000000" w:rsidDel="00000000" w:rsidP="00000000" w:rsidRDefault="00000000" w:rsidRPr="00000000" w14:paraId="0000008F">
            <w:pPr>
              <w:spacing w:after="20" w:lineRule="auto"/>
              <w:rPr/>
            </w:pPr>
            <w:r w:rsidDel="00000000" w:rsidR="00000000" w:rsidRPr="00000000">
              <w:rPr>
                <w:rFonts w:ascii="Aptos" w:cs="Aptos" w:eastAsia="Aptos" w:hAnsi="Aptos"/>
                <w:b w:val="0"/>
                <w:bCs w:val="0"/>
                <w:color w:val="102a43"/>
                <w:sz w:val="17"/>
                <w:szCs w:val="17"/>
                <w:rtl w:val="0"/>
              </w:rPr>
              <w:t xml:space="preserve">Calcul du score</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shd w:fill="f4fafb" w:val="clear"/>
          </w:tcPr>
          <w:p w:rsidR="00000000" w:rsidDel="00000000" w:rsidP="00000000" w:rsidRDefault="00000000" w:rsidRPr="00000000" w14:paraId="00000090">
            <w:pPr>
              <w:spacing w:after="20" w:lineRule="auto"/>
              <w:rPr/>
            </w:pPr>
            <w:r w:rsidDel="00000000" w:rsidR="00000000" w:rsidRPr="00000000">
              <w:rPr>
                <w:rFonts w:ascii="Aptos" w:cs="Aptos" w:eastAsia="Aptos" w:hAnsi="Aptos"/>
                <w:b w:val="1"/>
                <w:bCs w:val="1"/>
                <w:color w:val="8bc34a"/>
                <w:sz w:val="17"/>
                <w:szCs w:val="17"/>
                <w:rtl w:val="0"/>
              </w:rPr>
              <w:t xml:space="preserve">Disponible</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shd w:fill="f4fafb" w:val="clear"/>
          </w:tcPr>
          <w:p w:rsidR="00000000" w:rsidDel="00000000" w:rsidP="00000000" w:rsidRDefault="00000000" w:rsidRPr="00000000" w14:paraId="00000091">
            <w:pPr>
              <w:spacing w:after="20" w:lineRule="auto"/>
              <w:rPr/>
            </w:pPr>
            <w:r w:rsidDel="00000000" w:rsidR="00000000" w:rsidRPr="00000000">
              <w:rPr>
                <w:rFonts w:ascii="Aptos" w:cs="Aptos" w:eastAsia="Aptos" w:hAnsi="Aptos"/>
                <w:b w:val="0"/>
                <w:bCs w:val="0"/>
                <w:color w:val="102a43"/>
                <w:sz w:val="17"/>
                <w:szCs w:val="17"/>
                <w:rtl w:val="0"/>
              </w:rPr>
              <w:t xml:space="preserve">Score global et scores par domaine visibles sur un exemple complété.</w:t>
            </w:r>
            <w:r w:rsidDel="00000000" w:rsidR="00000000" w:rsidRPr="00000000">
              <w:rPr>
                <w:rtl w:val="0"/>
              </w:rPr>
            </w:r>
          </w:p>
        </w:tc>
      </w:tr>
      <w:tr>
        <w:trPr>
          <w:cantSplit w:val="0"/>
          <w:tblHeader w:val="0"/>
        </w:trPr>
        <w:tc>
          <w:tcPr>
            <w:tcBorders>
              <w:top w:color="cfe1e8" w:space="0" w:sz="4" w:val="single"/>
              <w:left w:color="cfe1e8" w:space="0" w:sz="4" w:val="single"/>
              <w:bottom w:color="cfe1e8" w:space="0" w:sz="4" w:val="single"/>
              <w:right w:color="cfe1e8" w:space="0" w:sz="4" w:val="single"/>
            </w:tcBorders>
            <w:shd w:fill="ffffff" w:val="clear"/>
          </w:tcPr>
          <w:p w:rsidR="00000000" w:rsidDel="00000000" w:rsidP="00000000" w:rsidRDefault="00000000" w:rsidRPr="00000000" w14:paraId="00000092">
            <w:pPr>
              <w:spacing w:after="20" w:lineRule="auto"/>
              <w:rPr/>
            </w:pPr>
            <w:r w:rsidDel="00000000" w:rsidR="00000000" w:rsidRPr="00000000">
              <w:rPr>
                <w:rFonts w:ascii="Aptos" w:cs="Aptos" w:eastAsia="Aptos" w:hAnsi="Aptos"/>
                <w:b w:val="0"/>
                <w:bCs w:val="0"/>
                <w:color w:val="102a43"/>
                <w:sz w:val="17"/>
                <w:szCs w:val="17"/>
                <w:rtl w:val="0"/>
              </w:rPr>
              <w:t xml:space="preserve">Plan d’actions personnalisé</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shd w:fill="ffffff" w:val="clear"/>
          </w:tcPr>
          <w:p w:rsidR="00000000" w:rsidDel="00000000" w:rsidP="00000000" w:rsidRDefault="00000000" w:rsidRPr="00000000" w14:paraId="00000093">
            <w:pPr>
              <w:spacing w:after="20" w:lineRule="auto"/>
              <w:rPr/>
            </w:pPr>
            <w:r w:rsidDel="00000000" w:rsidR="00000000" w:rsidRPr="00000000">
              <w:rPr>
                <w:rFonts w:ascii="Aptos" w:cs="Aptos" w:eastAsia="Aptos" w:hAnsi="Aptos"/>
                <w:b w:val="1"/>
                <w:bCs w:val="1"/>
                <w:color w:val="8bc34a"/>
                <w:sz w:val="17"/>
                <w:szCs w:val="17"/>
                <w:rtl w:val="0"/>
              </w:rPr>
              <w:t xml:space="preserve">Disponible</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shd w:fill="ffffff" w:val="clear"/>
          </w:tcPr>
          <w:p w:rsidR="00000000" w:rsidDel="00000000" w:rsidP="00000000" w:rsidRDefault="00000000" w:rsidRPr="00000000" w14:paraId="00000094">
            <w:pPr>
              <w:spacing w:after="20" w:lineRule="auto"/>
              <w:rPr/>
            </w:pPr>
            <w:r w:rsidDel="00000000" w:rsidR="00000000" w:rsidRPr="00000000">
              <w:rPr>
                <w:rFonts w:ascii="Aptos" w:cs="Aptos" w:eastAsia="Aptos" w:hAnsi="Aptos"/>
                <w:b w:val="0"/>
                <w:bCs w:val="0"/>
                <w:color w:val="102a43"/>
                <w:sz w:val="17"/>
                <w:szCs w:val="17"/>
                <w:rtl w:val="0"/>
              </w:rPr>
              <w:t xml:space="preserve">Priorités immédiates et actions sous sept jours.</w:t>
            </w:r>
            <w:r w:rsidDel="00000000" w:rsidR="00000000" w:rsidRPr="00000000">
              <w:rPr>
                <w:rtl w:val="0"/>
              </w:rPr>
            </w:r>
          </w:p>
        </w:tc>
      </w:tr>
      <w:tr>
        <w:trPr>
          <w:cantSplit w:val="0"/>
          <w:tblHeader w:val="0"/>
        </w:trPr>
        <w:tc>
          <w:tcPr>
            <w:tcBorders>
              <w:top w:color="cfe1e8" w:space="0" w:sz="4" w:val="single"/>
              <w:left w:color="cfe1e8" w:space="0" w:sz="4" w:val="single"/>
              <w:bottom w:color="cfe1e8" w:space="0" w:sz="4" w:val="single"/>
              <w:right w:color="cfe1e8" w:space="0" w:sz="4" w:val="single"/>
            </w:tcBorders>
            <w:shd w:fill="f4fafb" w:val="clear"/>
          </w:tcPr>
          <w:p w:rsidR="00000000" w:rsidDel="00000000" w:rsidP="00000000" w:rsidRDefault="00000000" w:rsidRPr="00000000" w14:paraId="00000095">
            <w:pPr>
              <w:spacing w:after="20" w:lineRule="auto"/>
              <w:rPr/>
            </w:pPr>
            <w:r w:rsidDel="00000000" w:rsidR="00000000" w:rsidRPr="00000000">
              <w:rPr>
                <w:rFonts w:ascii="Aptos" w:cs="Aptos" w:eastAsia="Aptos" w:hAnsi="Aptos"/>
                <w:b w:val="0"/>
                <w:bCs w:val="0"/>
                <w:color w:val="102a43"/>
                <w:sz w:val="17"/>
                <w:szCs w:val="17"/>
                <w:rtl w:val="0"/>
              </w:rPr>
              <w:t xml:space="preserve">Checklist</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shd w:fill="f4fafb" w:val="clear"/>
          </w:tcPr>
          <w:p w:rsidR="00000000" w:rsidDel="00000000" w:rsidP="00000000" w:rsidRDefault="00000000" w:rsidRPr="00000000" w14:paraId="00000096">
            <w:pPr>
              <w:spacing w:after="20" w:lineRule="auto"/>
              <w:rPr/>
            </w:pPr>
            <w:r w:rsidDel="00000000" w:rsidR="00000000" w:rsidRPr="00000000">
              <w:rPr>
                <w:rFonts w:ascii="Aptos" w:cs="Aptos" w:eastAsia="Aptos" w:hAnsi="Aptos"/>
                <w:b w:val="1"/>
                <w:bCs w:val="1"/>
                <w:color w:val="8bc34a"/>
                <w:sz w:val="17"/>
                <w:szCs w:val="17"/>
                <w:rtl w:val="0"/>
              </w:rPr>
              <w:t xml:space="preserve">Disponible</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shd w:fill="f4fafb" w:val="clear"/>
          </w:tcPr>
          <w:p w:rsidR="00000000" w:rsidDel="00000000" w:rsidP="00000000" w:rsidRDefault="00000000" w:rsidRPr="00000000" w14:paraId="00000097">
            <w:pPr>
              <w:spacing w:after="20" w:lineRule="auto"/>
              <w:rPr/>
            </w:pPr>
            <w:r w:rsidDel="00000000" w:rsidR="00000000" w:rsidRPr="00000000">
              <w:rPr>
                <w:rFonts w:ascii="Aptos" w:cs="Aptos" w:eastAsia="Aptos" w:hAnsi="Aptos"/>
                <w:b w:val="0"/>
                <w:bCs w:val="0"/>
                <w:color w:val="102a43"/>
                <w:sz w:val="17"/>
                <w:szCs w:val="17"/>
                <w:rtl w:val="0"/>
              </w:rPr>
              <w:t xml:space="preserve">Actions recommandées, progression et actions personnelles.</w:t>
            </w:r>
            <w:r w:rsidDel="00000000" w:rsidR="00000000" w:rsidRPr="00000000">
              <w:rPr>
                <w:rtl w:val="0"/>
              </w:rPr>
            </w:r>
          </w:p>
        </w:tc>
      </w:tr>
      <w:tr>
        <w:trPr>
          <w:cantSplit w:val="0"/>
          <w:tblHeader w:val="0"/>
        </w:trPr>
        <w:tc>
          <w:tcPr>
            <w:tcBorders>
              <w:top w:color="cfe1e8" w:space="0" w:sz="4" w:val="single"/>
              <w:left w:color="cfe1e8" w:space="0" w:sz="4" w:val="single"/>
              <w:bottom w:color="cfe1e8" w:space="0" w:sz="4" w:val="single"/>
              <w:right w:color="cfe1e8" w:space="0" w:sz="4" w:val="single"/>
            </w:tcBorders>
            <w:shd w:fill="ffffff" w:val="clear"/>
          </w:tcPr>
          <w:p w:rsidR="00000000" w:rsidDel="00000000" w:rsidP="00000000" w:rsidRDefault="00000000" w:rsidRPr="00000000" w14:paraId="00000098">
            <w:pPr>
              <w:spacing w:after="20" w:lineRule="auto"/>
              <w:rPr/>
            </w:pPr>
            <w:r w:rsidDel="00000000" w:rsidR="00000000" w:rsidRPr="00000000">
              <w:rPr>
                <w:rFonts w:ascii="Aptos" w:cs="Aptos" w:eastAsia="Aptos" w:hAnsi="Aptos"/>
                <w:b w:val="0"/>
                <w:bCs w:val="0"/>
                <w:color w:val="102a43"/>
                <w:sz w:val="17"/>
                <w:szCs w:val="17"/>
                <w:rtl w:val="0"/>
              </w:rPr>
              <w:t xml:space="preserve">Kit d’urgence</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shd w:fill="ffffff" w:val="clear"/>
          </w:tcPr>
          <w:p w:rsidR="00000000" w:rsidDel="00000000" w:rsidP="00000000" w:rsidRDefault="00000000" w:rsidRPr="00000000" w14:paraId="00000099">
            <w:pPr>
              <w:spacing w:after="20" w:lineRule="auto"/>
              <w:rPr/>
            </w:pPr>
            <w:r w:rsidDel="00000000" w:rsidR="00000000" w:rsidRPr="00000000">
              <w:rPr>
                <w:rFonts w:ascii="Aptos" w:cs="Aptos" w:eastAsia="Aptos" w:hAnsi="Aptos"/>
                <w:b w:val="1"/>
                <w:bCs w:val="1"/>
                <w:color w:val="8bc34a"/>
                <w:sz w:val="17"/>
                <w:szCs w:val="17"/>
                <w:rtl w:val="0"/>
              </w:rPr>
              <w:t xml:space="preserve">Disponible</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shd w:fill="ffffff" w:val="clear"/>
          </w:tcPr>
          <w:p w:rsidR="00000000" w:rsidDel="00000000" w:rsidP="00000000" w:rsidRDefault="00000000" w:rsidRPr="00000000" w14:paraId="0000009A">
            <w:pPr>
              <w:spacing w:after="20" w:lineRule="auto"/>
              <w:rPr/>
            </w:pPr>
            <w:r w:rsidDel="00000000" w:rsidR="00000000" w:rsidRPr="00000000">
              <w:rPr>
                <w:rFonts w:ascii="Aptos" w:cs="Aptos" w:eastAsia="Aptos" w:hAnsi="Aptos"/>
                <w:b w:val="0"/>
                <w:bCs w:val="0"/>
                <w:color w:val="102a43"/>
                <w:sz w:val="17"/>
                <w:szCs w:val="17"/>
                <w:rtl w:val="0"/>
              </w:rPr>
              <w:t xml:space="preserve">Personnalisation du foyer et catégories de besoins.</w:t>
            </w:r>
            <w:r w:rsidDel="00000000" w:rsidR="00000000" w:rsidRPr="00000000">
              <w:rPr>
                <w:rtl w:val="0"/>
              </w:rPr>
            </w:r>
          </w:p>
        </w:tc>
      </w:tr>
      <w:tr>
        <w:trPr>
          <w:cantSplit w:val="0"/>
          <w:tblHeader w:val="0"/>
        </w:trPr>
        <w:tc>
          <w:tcPr>
            <w:tcBorders>
              <w:top w:color="cfe1e8" w:space="0" w:sz="4" w:val="single"/>
              <w:left w:color="cfe1e8" w:space="0" w:sz="4" w:val="single"/>
              <w:bottom w:color="cfe1e8" w:space="0" w:sz="4" w:val="single"/>
              <w:right w:color="cfe1e8" w:space="0" w:sz="4" w:val="single"/>
            </w:tcBorders>
            <w:shd w:fill="f4fafb" w:val="clear"/>
          </w:tcPr>
          <w:p w:rsidR="00000000" w:rsidDel="00000000" w:rsidP="00000000" w:rsidRDefault="00000000" w:rsidRPr="00000000" w14:paraId="0000009B">
            <w:pPr>
              <w:spacing w:after="20" w:lineRule="auto"/>
              <w:rPr/>
            </w:pPr>
            <w:r w:rsidDel="00000000" w:rsidR="00000000" w:rsidRPr="00000000">
              <w:rPr>
                <w:rFonts w:ascii="Aptos" w:cs="Aptos" w:eastAsia="Aptos" w:hAnsi="Aptos"/>
                <w:b w:val="0"/>
                <w:bCs w:val="0"/>
                <w:color w:val="102a43"/>
                <w:sz w:val="17"/>
                <w:szCs w:val="17"/>
                <w:rtl w:val="0"/>
              </w:rPr>
              <w:t xml:space="preserve">Ressources et sources</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shd w:fill="f4fafb" w:val="clear"/>
          </w:tcPr>
          <w:p w:rsidR="00000000" w:rsidDel="00000000" w:rsidP="00000000" w:rsidRDefault="00000000" w:rsidRPr="00000000" w14:paraId="0000009C">
            <w:pPr>
              <w:spacing w:after="20" w:lineRule="auto"/>
              <w:rPr/>
            </w:pPr>
            <w:r w:rsidDel="00000000" w:rsidR="00000000" w:rsidRPr="00000000">
              <w:rPr>
                <w:rFonts w:ascii="Aptos" w:cs="Aptos" w:eastAsia="Aptos" w:hAnsi="Aptos"/>
                <w:b w:val="1"/>
                <w:bCs w:val="1"/>
                <w:color w:val="8bc34a"/>
                <w:sz w:val="17"/>
                <w:szCs w:val="17"/>
                <w:rtl w:val="0"/>
              </w:rPr>
              <w:t xml:space="preserve">Disponible</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shd w:fill="f4fafb" w:val="clear"/>
          </w:tcPr>
          <w:p w:rsidR="00000000" w:rsidDel="00000000" w:rsidP="00000000" w:rsidRDefault="00000000" w:rsidRPr="00000000" w14:paraId="0000009D">
            <w:pPr>
              <w:spacing w:after="20" w:lineRule="auto"/>
              <w:rPr/>
            </w:pPr>
            <w:r w:rsidDel="00000000" w:rsidR="00000000" w:rsidRPr="00000000">
              <w:rPr>
                <w:rFonts w:ascii="Aptos" w:cs="Aptos" w:eastAsia="Aptos" w:hAnsi="Aptos"/>
                <w:b w:val="0"/>
                <w:bCs w:val="0"/>
                <w:color w:val="102a43"/>
                <w:sz w:val="17"/>
                <w:szCs w:val="17"/>
                <w:rtl w:val="0"/>
              </w:rPr>
              <w:t xml:space="preserve">Fiches thématiques et liens vers les références.</w:t>
            </w:r>
            <w:r w:rsidDel="00000000" w:rsidR="00000000" w:rsidRPr="00000000">
              <w:rPr>
                <w:rtl w:val="0"/>
              </w:rPr>
            </w:r>
          </w:p>
        </w:tc>
      </w:tr>
      <w:tr>
        <w:trPr>
          <w:cantSplit w:val="0"/>
          <w:tblHeader w:val="0"/>
        </w:trPr>
        <w:tc>
          <w:tcPr>
            <w:tcBorders>
              <w:top w:color="cfe1e8" w:space="0" w:sz="4" w:val="single"/>
              <w:left w:color="cfe1e8" w:space="0" w:sz="4" w:val="single"/>
              <w:bottom w:color="cfe1e8" w:space="0" w:sz="4" w:val="single"/>
              <w:right w:color="cfe1e8" w:space="0" w:sz="4" w:val="single"/>
            </w:tcBorders>
            <w:shd w:fill="ffffff" w:val="clear"/>
          </w:tcPr>
          <w:p w:rsidR="00000000" w:rsidDel="00000000" w:rsidP="00000000" w:rsidRDefault="00000000" w:rsidRPr="00000000" w14:paraId="0000009E">
            <w:pPr>
              <w:spacing w:after="20" w:lineRule="auto"/>
              <w:rPr/>
            </w:pPr>
            <w:r w:rsidDel="00000000" w:rsidR="00000000" w:rsidRPr="00000000">
              <w:rPr>
                <w:rFonts w:ascii="Aptos" w:cs="Aptos" w:eastAsia="Aptos" w:hAnsi="Aptos"/>
                <w:b w:val="0"/>
                <w:bCs w:val="0"/>
                <w:color w:val="102a43"/>
                <w:sz w:val="17"/>
                <w:szCs w:val="17"/>
                <w:rtl w:val="0"/>
              </w:rPr>
              <w:t xml:space="preserve">Attestation / impression</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shd w:fill="ffffff" w:val="clear"/>
          </w:tcPr>
          <w:p w:rsidR="00000000" w:rsidDel="00000000" w:rsidP="00000000" w:rsidRDefault="00000000" w:rsidRPr="00000000" w14:paraId="0000009F">
            <w:pPr>
              <w:spacing w:after="20" w:lineRule="auto"/>
              <w:rPr/>
            </w:pPr>
            <w:r w:rsidDel="00000000" w:rsidR="00000000" w:rsidRPr="00000000">
              <w:rPr>
                <w:b w:val="1"/>
                <w:bCs w:val="1"/>
                <w:color w:val="8bc34a"/>
                <w:sz w:val="17"/>
                <w:szCs w:val="17"/>
                <w:rtl w:val="0"/>
              </w:rPr>
              <w:t xml:space="preserve">Disponible</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shd w:fill="ffffff" w:val="clear"/>
          </w:tcPr>
          <w:p w:rsidR="00000000" w:rsidDel="00000000" w:rsidP="00000000" w:rsidRDefault="00000000" w:rsidRPr="00000000" w14:paraId="000000A0">
            <w:pPr>
              <w:spacing w:after="20" w:lineRule="auto"/>
              <w:rPr/>
            </w:pPr>
            <w:r w:rsidDel="00000000" w:rsidR="00000000" w:rsidRPr="00000000">
              <w:rPr>
                <w:rFonts w:ascii="Aptos" w:cs="Aptos" w:eastAsia="Aptos" w:hAnsi="Aptos"/>
                <w:b w:val="0"/>
                <w:bCs w:val="0"/>
                <w:color w:val="102a43"/>
                <w:sz w:val="17"/>
                <w:szCs w:val="17"/>
                <w:rtl w:val="0"/>
              </w:rPr>
              <w:t xml:space="preserve">Boutons présents depuis les résultats ; intitulés et recette finale à harmoniser.</w:t>
            </w:r>
            <w:r w:rsidDel="00000000" w:rsidR="00000000" w:rsidRPr="00000000">
              <w:rPr>
                <w:rtl w:val="0"/>
              </w:rPr>
            </w:r>
          </w:p>
        </w:tc>
      </w:tr>
      <w:tr>
        <w:trPr>
          <w:cantSplit w:val="0"/>
          <w:tblHeader w:val="0"/>
        </w:trPr>
        <w:tc>
          <w:tcPr>
            <w:tcBorders>
              <w:top w:color="cfe1e8" w:space="0" w:sz="4" w:val="single"/>
              <w:left w:color="cfe1e8" w:space="0" w:sz="4" w:val="single"/>
              <w:bottom w:color="cfe1e8" w:space="0" w:sz="4" w:val="single"/>
              <w:right w:color="cfe1e8" w:space="0" w:sz="4" w:val="single"/>
            </w:tcBorders>
            <w:shd w:fill="f4fafb" w:val="clear"/>
          </w:tcPr>
          <w:p w:rsidR="00000000" w:rsidDel="00000000" w:rsidP="00000000" w:rsidRDefault="00000000" w:rsidRPr="00000000" w14:paraId="000000A1">
            <w:pPr>
              <w:spacing w:after="20" w:lineRule="auto"/>
              <w:rPr/>
            </w:pPr>
            <w:r w:rsidDel="00000000" w:rsidR="00000000" w:rsidRPr="00000000">
              <w:rPr>
                <w:rFonts w:ascii="Aptos" w:cs="Aptos" w:eastAsia="Aptos" w:hAnsi="Aptos"/>
                <w:b w:val="0"/>
                <w:bCs w:val="0"/>
                <w:color w:val="102a43"/>
                <w:sz w:val="17"/>
                <w:szCs w:val="17"/>
                <w:rtl w:val="0"/>
              </w:rPr>
              <w:t xml:space="preserve">Validation éditoriale</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shd w:fill="f4fafb" w:val="clear"/>
          </w:tcPr>
          <w:p w:rsidR="00000000" w:rsidDel="00000000" w:rsidP="00000000" w:rsidRDefault="00000000" w:rsidRPr="00000000" w14:paraId="000000A2">
            <w:pPr>
              <w:spacing w:after="20" w:lineRule="auto"/>
              <w:rPr/>
            </w:pPr>
            <w:r w:rsidDel="00000000" w:rsidR="00000000" w:rsidRPr="00000000">
              <w:rPr>
                <w:rFonts w:ascii="Aptos" w:cs="Aptos" w:eastAsia="Aptos" w:hAnsi="Aptos"/>
                <w:b w:val="1"/>
                <w:bCs w:val="1"/>
                <w:color w:val="ff8b2c"/>
                <w:sz w:val="17"/>
                <w:szCs w:val="17"/>
                <w:rtl w:val="0"/>
              </w:rPr>
              <w:t xml:space="preserve">À finaliser</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shd w:fill="f4fafb" w:val="clear"/>
          </w:tcPr>
          <w:p w:rsidR="00000000" w:rsidDel="00000000" w:rsidP="00000000" w:rsidRDefault="00000000" w:rsidRPr="00000000" w14:paraId="000000A3">
            <w:pPr>
              <w:spacing w:after="20" w:lineRule="auto"/>
              <w:rPr/>
            </w:pPr>
            <w:r w:rsidDel="00000000" w:rsidR="00000000" w:rsidRPr="00000000">
              <w:rPr>
                <w:rFonts w:ascii="Aptos" w:cs="Aptos" w:eastAsia="Aptos" w:hAnsi="Aptos"/>
                <w:b w:val="0"/>
                <w:bCs w:val="0"/>
                <w:color w:val="102a43"/>
                <w:sz w:val="17"/>
                <w:szCs w:val="17"/>
                <w:rtl w:val="0"/>
              </w:rPr>
              <w:t xml:space="preserve">Relecture des contenus, quantités et formulations à partir de sources institutionnelles ou reconnues.</w:t>
            </w:r>
            <w:r w:rsidDel="00000000" w:rsidR="00000000" w:rsidRPr="00000000">
              <w:rPr>
                <w:rtl w:val="0"/>
              </w:rPr>
            </w:r>
          </w:p>
        </w:tc>
      </w:tr>
      <w:tr>
        <w:trPr>
          <w:cantSplit w:val="0"/>
          <w:tblHeader w:val="0"/>
        </w:trPr>
        <w:tc>
          <w:tcPr>
            <w:tcBorders>
              <w:top w:color="cfe1e8" w:space="0" w:sz="4" w:val="single"/>
              <w:left w:color="cfe1e8" w:space="0" w:sz="4" w:val="single"/>
              <w:bottom w:color="cfe1e8" w:space="0" w:sz="4" w:val="single"/>
              <w:right w:color="cfe1e8" w:space="0" w:sz="4" w:val="single"/>
            </w:tcBorders>
            <w:shd w:fill="ffffff" w:val="clear"/>
          </w:tcPr>
          <w:p w:rsidR="00000000" w:rsidDel="00000000" w:rsidP="00000000" w:rsidRDefault="00000000" w:rsidRPr="00000000" w14:paraId="000000A4">
            <w:pPr>
              <w:spacing w:after="20" w:lineRule="auto"/>
              <w:rPr/>
            </w:pPr>
            <w:r w:rsidDel="00000000" w:rsidR="00000000" w:rsidRPr="00000000">
              <w:rPr>
                <w:rFonts w:ascii="Aptos" w:cs="Aptos" w:eastAsia="Aptos" w:hAnsi="Aptos"/>
                <w:b w:val="0"/>
                <w:bCs w:val="0"/>
                <w:color w:val="102a43"/>
                <w:sz w:val="17"/>
                <w:szCs w:val="17"/>
                <w:rtl w:val="0"/>
              </w:rPr>
              <w:t xml:space="preserve">Multilingue</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shd w:fill="ffffff" w:val="clear"/>
          </w:tcPr>
          <w:p w:rsidR="00000000" w:rsidDel="00000000" w:rsidP="00000000" w:rsidRDefault="00000000" w:rsidRPr="00000000" w14:paraId="000000A5">
            <w:pPr>
              <w:spacing w:after="20" w:lineRule="auto"/>
              <w:rPr/>
            </w:pPr>
            <w:r w:rsidDel="00000000" w:rsidR="00000000" w:rsidRPr="00000000">
              <w:rPr>
                <w:b w:val="1"/>
                <w:bCs w:val="1"/>
                <w:color w:val="8bc34a"/>
                <w:sz w:val="17"/>
                <w:szCs w:val="17"/>
                <w:rtl w:val="0"/>
              </w:rPr>
              <w:t xml:space="preserve">Disponible (sauf video)</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shd w:fill="ffffff" w:val="clear"/>
          </w:tcPr>
          <w:p w:rsidR="00000000" w:rsidDel="00000000" w:rsidP="00000000" w:rsidRDefault="00000000" w:rsidRPr="00000000" w14:paraId="000000A6">
            <w:pPr>
              <w:spacing w:after="20" w:lineRule="auto"/>
              <w:rPr/>
            </w:pPr>
            <w:r w:rsidDel="00000000" w:rsidR="00000000" w:rsidRPr="00000000">
              <w:rPr>
                <w:rFonts w:ascii="Aptos" w:cs="Aptos" w:eastAsia="Aptos" w:hAnsi="Aptos"/>
                <w:b w:val="0"/>
                <w:bCs w:val="0"/>
                <w:color w:val="102a43"/>
                <w:sz w:val="17"/>
                <w:szCs w:val="17"/>
                <w:rtl w:val="0"/>
              </w:rPr>
              <w:t xml:space="preserve">Sélecteur visible dans le prototype ; à masquer jusqu'à l'intégration de traductions validées.</w:t>
            </w:r>
            <w:r w:rsidDel="00000000" w:rsidR="00000000" w:rsidRPr="00000000">
              <w:rPr>
                <w:rtl w:val="0"/>
              </w:rPr>
            </w:r>
          </w:p>
        </w:tc>
      </w:tr>
      <w:tr>
        <w:trPr>
          <w:cantSplit w:val="0"/>
          <w:tblHeader w:val="0"/>
        </w:trPr>
        <w:tc>
          <w:tcPr>
            <w:tcBorders>
              <w:top w:color="cfe1e8" w:space="0" w:sz="4" w:val="single"/>
              <w:left w:color="cfe1e8" w:space="0" w:sz="4" w:val="single"/>
              <w:bottom w:color="cfe1e8" w:space="0" w:sz="4" w:val="single"/>
              <w:right w:color="cfe1e8" w:space="0" w:sz="4" w:val="single"/>
            </w:tcBorders>
            <w:shd w:fill="f4fafb" w:val="clear"/>
          </w:tcPr>
          <w:p w:rsidR="00000000" w:rsidDel="00000000" w:rsidP="00000000" w:rsidRDefault="00000000" w:rsidRPr="00000000" w14:paraId="000000A7">
            <w:pPr>
              <w:spacing w:after="20" w:lineRule="auto"/>
              <w:rPr/>
            </w:pPr>
            <w:r w:rsidDel="00000000" w:rsidR="00000000" w:rsidRPr="00000000">
              <w:rPr>
                <w:rFonts w:ascii="Aptos" w:cs="Aptos" w:eastAsia="Aptos" w:hAnsi="Aptos"/>
                <w:b w:val="0"/>
                <w:bCs w:val="0"/>
                <w:color w:val="102a43"/>
                <w:sz w:val="17"/>
                <w:szCs w:val="17"/>
                <w:rtl w:val="0"/>
              </w:rPr>
              <w:t xml:space="preserve">Mesure d’impact</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shd w:fill="f4fafb" w:val="clear"/>
          </w:tcPr>
          <w:p w:rsidR="00000000" w:rsidDel="00000000" w:rsidP="00000000" w:rsidRDefault="00000000" w:rsidRPr="00000000" w14:paraId="000000A8">
            <w:pPr>
              <w:spacing w:after="20" w:lineRule="auto"/>
              <w:rPr/>
            </w:pPr>
            <w:r w:rsidDel="00000000" w:rsidR="00000000" w:rsidRPr="00000000">
              <w:rPr>
                <w:b w:val="1"/>
                <w:bCs w:val="1"/>
                <w:color w:val="8bc34a"/>
                <w:sz w:val="17"/>
                <w:szCs w:val="17"/>
                <w:rtl w:val="0"/>
              </w:rPr>
              <w:t xml:space="preserve">Disponible</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shd w:fill="f4fafb" w:val="clear"/>
          </w:tcPr>
          <w:p w:rsidR="00000000" w:rsidDel="00000000" w:rsidP="00000000" w:rsidRDefault="00000000" w:rsidRPr="00000000" w14:paraId="000000A9">
            <w:pPr>
              <w:spacing w:after="20" w:lineRule="auto"/>
              <w:rPr/>
            </w:pPr>
            <w:r w:rsidDel="00000000" w:rsidR="00000000" w:rsidRPr="00000000">
              <w:rPr>
                <w:rFonts w:ascii="Aptos" w:cs="Aptos" w:eastAsia="Aptos" w:hAnsi="Aptos"/>
                <w:b w:val="0"/>
                <w:bCs w:val="0"/>
                <w:color w:val="102a43"/>
                <w:sz w:val="17"/>
                <w:szCs w:val="17"/>
                <w:rtl w:val="0"/>
              </w:rPr>
              <w:t xml:space="preserve">Définition et instrumentation des indicateurs anonymes de participation.</w:t>
            </w:r>
            <w:r w:rsidDel="00000000" w:rsidR="00000000" w:rsidRPr="00000000">
              <w:rPr>
                <w:rtl w:val="0"/>
              </w:rPr>
            </w:r>
          </w:p>
        </w:tc>
      </w:tr>
    </w:tbl>
    <w:p w:rsidR="00000000" w:rsidDel="00000000" w:rsidP="00000000" w:rsidRDefault="00000000" w:rsidRPr="00000000" w14:paraId="000000AA">
      <w:pPr>
        <w:pStyle w:val="Heading2"/>
        <w:keepNext w:val="1"/>
        <w:spacing w:after="60" w:before="160" w:line="259" w:lineRule="auto"/>
        <w:rPr/>
      </w:pPr>
      <w:r w:rsidDel="00000000" w:rsidR="00000000" w:rsidRPr="00000000">
        <w:rPr>
          <w:rFonts w:ascii="Aptos" w:cs="Aptos" w:eastAsia="Aptos" w:hAnsi="Aptos"/>
          <w:color w:val="102a43"/>
          <w:sz w:val="21"/>
          <w:szCs w:val="21"/>
          <w:rtl w:val="0"/>
        </w:rPr>
        <w:t xml:space="preserve">Prochaines étapes avant lancement</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faire relire les consignes et quantités par des acteurs compétents ou à partir de documents officiels actualisés ;</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tester le diagnostic sur plusieurs profils de foyers et vérifier la cohérence des résultats ;</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finaliser l'export PDF et l'attestation de participation ;</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mettre en place les indicateurs anonymes de fréquentation et de complétion ;</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réaliser les vérifications d’accessibilité, de sécurité et de compatibilité mobile ;</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intégrer le kit de communication JNR après labellisation.</w:t>
      </w:r>
      <w:r w:rsidDel="00000000" w:rsidR="00000000" w:rsidRPr="00000000">
        <w:rPr>
          <w:rtl w:val="0"/>
        </w:rPr>
      </w:r>
    </w:p>
    <w:tbl>
      <w:tblPr>
        <w:tblStyle w:val="Table12"/>
        <w:tblW w:w="9173.0" w:type="dxa"/>
        <w:jc w:val="center"/>
        <w:tblLayout w:type="fixed"/>
        <w:tblLook w:val="0400"/>
      </w:tblPr>
      <w:tblGrid>
        <w:gridCol w:w="173"/>
        <w:gridCol w:w="9000"/>
        <w:tblGridChange w:id="0">
          <w:tblGrid>
            <w:gridCol w:w="173"/>
            <w:gridCol w:w="9000"/>
          </w:tblGrid>
        </w:tblGridChange>
      </w:tblGrid>
      <w:tr>
        <w:trPr>
          <w:cantSplit w:val="0"/>
          <w:tblHeader w:val="0"/>
        </w:trPr>
        <w:tc>
          <w:tcPr>
            <w:tcBorders>
              <w:top w:color="cfe1e8" w:space="0" w:sz="6" w:val="single"/>
              <w:left w:color="cfe1e8" w:space="0" w:sz="6" w:val="single"/>
              <w:bottom w:color="cfe1e8" w:space="0" w:sz="6" w:val="single"/>
              <w:right w:color="cfe1e8" w:space="0" w:sz="6" w:val="single"/>
            </w:tcBorders>
            <w:shd w:fill="008c95" w:val="clear"/>
            <w:vAlign w:val="center"/>
          </w:tcPr>
          <w:p w:rsidR="00000000" w:rsidDel="00000000" w:rsidP="00000000" w:rsidRDefault="00000000" w:rsidRPr="00000000" w14:paraId="000000B1">
            <w:pPr>
              <w:rPr/>
            </w:pPr>
            <w:r w:rsidDel="00000000" w:rsidR="00000000" w:rsidRPr="00000000">
              <w:rPr>
                <w:rtl w:val="0"/>
              </w:rPr>
            </w:r>
          </w:p>
        </w:tc>
        <w:tc>
          <w:tcPr>
            <w:tcBorders>
              <w:top w:color="cfe1e8" w:space="0" w:sz="6" w:val="single"/>
              <w:left w:color="cfe1e8" w:space="0" w:sz="6" w:val="single"/>
              <w:bottom w:color="cfe1e8" w:space="0" w:sz="6" w:val="single"/>
              <w:right w:color="cfe1e8" w:space="0" w:sz="6" w:val="single"/>
            </w:tcBorders>
            <w:shd w:fill="f4fafb" w:val="clear"/>
            <w:vAlign w:val="center"/>
          </w:tcPr>
          <w:p w:rsidR="00000000" w:rsidDel="00000000" w:rsidP="00000000" w:rsidRDefault="00000000" w:rsidRPr="00000000" w14:paraId="000000B2">
            <w:pPr>
              <w:spacing w:after="20" w:lineRule="auto"/>
              <w:rPr/>
            </w:pPr>
            <w:r w:rsidDel="00000000" w:rsidR="00000000" w:rsidRPr="00000000">
              <w:rPr>
                <w:rFonts w:ascii="Aptos" w:cs="Aptos" w:eastAsia="Aptos" w:hAnsi="Aptos"/>
                <w:b w:val="1"/>
                <w:bCs w:val="1"/>
                <w:color w:val="008c95"/>
                <w:sz w:val="21"/>
                <w:szCs w:val="21"/>
                <w:rtl w:val="0"/>
              </w:rPr>
              <w:t xml:space="preserve">Conclusion</w:t>
            </w:r>
            <w:r w:rsidDel="00000000" w:rsidR="00000000" w:rsidRPr="00000000">
              <w:rPr>
                <w:rtl w:val="0"/>
              </w:rPr>
            </w:r>
          </w:p>
          <w:p w:rsidR="00000000" w:rsidDel="00000000" w:rsidP="00000000" w:rsidRDefault="00000000" w:rsidRPr="00000000" w14:paraId="000000B3">
            <w:pPr>
              <w:spacing w:after="20" w:line="252.00000000000003" w:lineRule="auto"/>
              <w:rPr/>
            </w:pPr>
            <w:r w:rsidDel="00000000" w:rsidR="00000000" w:rsidRPr="00000000">
              <w:rPr>
                <w:rFonts w:ascii="Aptos" w:cs="Aptos" w:eastAsia="Aptos" w:hAnsi="Aptos"/>
                <w:color w:val="102a43"/>
                <w:sz w:val="19"/>
                <w:szCs w:val="19"/>
                <w:rtl w:val="0"/>
              </w:rPr>
              <w:t xml:space="preserve">Le démonstrateur apporte une preuve directe de faisabilité. Il permet déjà de visualiser l’expérience proposée aux habitants et réduit fortement le risque d’exécution du projet.</w:t>
            </w:r>
            <w:r w:rsidDel="00000000" w:rsidR="00000000" w:rsidRPr="00000000">
              <w:rPr>
                <w:rtl w:val="0"/>
              </w:rPr>
            </w:r>
          </w:p>
        </w:tc>
      </w:tr>
    </w:tbl>
    <w:p w:rsidR="00000000" w:rsidDel="00000000" w:rsidP="00000000" w:rsidRDefault="00000000" w:rsidRPr="00000000" w14:paraId="000000B4">
      <w:pPr>
        <w:spacing w:after="20" w:lineRule="auto"/>
        <w:rPr/>
      </w:pPr>
      <w:r w:rsidDel="00000000" w:rsidR="00000000" w:rsidRPr="00000000">
        <w:rPr>
          <w:rtl w:val="0"/>
        </w:rPr>
      </w:r>
    </w:p>
    <w:sectPr>
      <w:headerReference r:id="rId14" w:type="default"/>
      <w:footerReference r:id="rId15" w:type="default"/>
      <w:pgSz w:h="15840" w:w="12240" w:orient="portrait"/>
      <w:pgMar w:bottom="792" w:top="792" w:left="936" w:right="936" w:header="317"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102a43"/>
        <w:sz w:val="21"/>
        <w:szCs w:val="21"/>
        <w:u w:val="none"/>
        <w:shd w:fill="auto" w:val="clear"/>
        <w:vertAlign w:val="baseline"/>
      </w:rPr>
    </w:pPr>
    <w:r w:rsidDel="00000000" w:rsidR="00000000" w:rsidRPr="00000000">
      <w:rPr>
        <w:rtl w:val="0"/>
      </w:rPr>
    </w:r>
  </w:p>
  <w:tbl>
    <w:tblPr>
      <w:tblStyle w:val="Table14"/>
      <w:tblW w:w="10008.0" w:type="dxa"/>
      <w:jc w:val="center"/>
      <w:tblLayout w:type="fixed"/>
      <w:tblLook w:val="0400"/>
    </w:tblPr>
    <w:tblGrid>
      <w:gridCol w:w="3456"/>
      <w:gridCol w:w="3168"/>
      <w:gridCol w:w="3384"/>
      <w:tblGridChange w:id="0">
        <w:tblGrid>
          <w:gridCol w:w="3456"/>
          <w:gridCol w:w="3168"/>
          <w:gridCol w:w="3384"/>
        </w:tblGrid>
      </w:tblGridChange>
    </w:tblGrid>
    <w:tr>
      <w:trPr>
        <w:cantSplit w:val="0"/>
        <w:tblHeader w:val="0"/>
      </w:trPr>
      <w:tc>
        <w:tcPr>
          <w:tcBorders>
            <w:top w:color="cfe1e8" w:space="0" w:sz="6" w:val="single"/>
          </w:tcBorders>
        </w:tcPr>
        <w:p w:rsidR="00000000" w:rsidDel="00000000" w:rsidP="00000000" w:rsidRDefault="00000000" w:rsidRPr="00000000" w14:paraId="000000BA">
          <w:pPr>
            <w:rPr/>
          </w:pPr>
          <w:r w:rsidDel="00000000" w:rsidR="00000000" w:rsidRPr="00000000">
            <w:rPr>
              <w:rFonts w:ascii="Aptos" w:cs="Aptos" w:eastAsia="Aptos" w:hAnsi="Aptos"/>
              <w:color w:val="52677a"/>
              <w:sz w:val="16"/>
              <w:szCs w:val="16"/>
              <w:rtl w:val="0"/>
            </w:rPr>
            <w:t xml:space="preserve">GT SAS - JNR 2026</w:t>
          </w:r>
          <w:r w:rsidDel="00000000" w:rsidR="00000000" w:rsidRPr="00000000">
            <w:rPr>
              <w:rtl w:val="0"/>
            </w:rPr>
          </w:r>
        </w:p>
      </w:tc>
      <w:tc>
        <w:tcPr>
          <w:tcBorders>
            <w:top w:color="cfe1e8" w:space="0" w:sz="6" w:val="single"/>
          </w:tcBorders>
        </w:tcPr>
        <w:p w:rsidR="00000000" w:rsidDel="00000000" w:rsidP="00000000" w:rsidRDefault="00000000" w:rsidRPr="00000000" w14:paraId="000000BB">
          <w:pPr>
            <w:jc w:val="center"/>
            <w:rPr/>
          </w:pPr>
          <w:r w:rsidDel="00000000" w:rsidR="00000000" w:rsidRPr="00000000">
            <w:rPr>
              <w:rFonts w:ascii="Aptos" w:cs="Aptos" w:eastAsia="Aptos" w:hAnsi="Aptos"/>
              <w:color w:val="008c95"/>
              <w:sz w:val="16"/>
              <w:szCs w:val="16"/>
              <w:rtl w:val="0"/>
            </w:rPr>
            <w:t xml:space="preserve">resilience-976.netlify.app</w:t>
          </w:r>
          <w:r w:rsidDel="00000000" w:rsidR="00000000" w:rsidRPr="00000000">
            <w:rPr>
              <w:rtl w:val="0"/>
            </w:rPr>
          </w:r>
        </w:p>
      </w:tc>
      <w:tc>
        <w:tcPr>
          <w:tcBorders>
            <w:top w:color="cfe1e8" w:space="0" w:sz="6" w:val="single"/>
          </w:tcBorders>
        </w:tcPr>
        <w:p w:rsidR="00000000" w:rsidDel="00000000" w:rsidP="00000000" w:rsidRDefault="00000000" w:rsidRPr="00000000" w14:paraId="000000BC">
          <w:pPr>
            <w:jc w:val="right"/>
            <w:rPr/>
          </w:pPr>
          <w:r w:rsidDel="00000000" w:rsidR="00000000" w:rsidRPr="00000000">
            <w:rPr>
              <w:rFonts w:ascii="Aptos" w:cs="Aptos" w:eastAsia="Aptos" w:hAnsi="Aptos"/>
              <w:color w:val="52677a"/>
              <w:sz w:val="16"/>
              <w:szCs w:val="16"/>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102a43"/>
        <w:sz w:val="21"/>
        <w:szCs w:val="21"/>
        <w:u w:val="none"/>
        <w:shd w:fill="auto" w:val="clear"/>
        <w:vertAlign w:val="baseline"/>
      </w:rPr>
    </w:pPr>
    <w:r w:rsidDel="00000000" w:rsidR="00000000" w:rsidRPr="00000000">
      <w:rPr>
        <w:rtl w:val="0"/>
      </w:rPr>
    </w:r>
  </w:p>
  <w:tbl>
    <w:tblPr>
      <w:tblStyle w:val="Table13"/>
      <w:tblW w:w="10008.0" w:type="dxa"/>
      <w:jc w:val="center"/>
      <w:tblLayout w:type="fixed"/>
      <w:tblLook w:val="0400"/>
    </w:tblPr>
    <w:tblGrid>
      <w:gridCol w:w="5040"/>
      <w:gridCol w:w="4968"/>
      <w:tblGridChange w:id="0">
        <w:tblGrid>
          <w:gridCol w:w="5040"/>
          <w:gridCol w:w="4968"/>
        </w:tblGrid>
      </w:tblGridChange>
    </w:tblGrid>
    <w:tr>
      <w:trPr>
        <w:cantSplit w:val="0"/>
        <w:tblHeader w:val="0"/>
      </w:trPr>
      <w:tc>
        <w:tcPr>
          <w:tcBorders>
            <w:bottom w:color="cfe1e8" w:space="0" w:sz="8" w:val="single"/>
          </w:tcBorders>
          <w:shd w:fill="ffffff" w:val="clear"/>
        </w:tcPr>
        <w:p w:rsidR="00000000" w:rsidDel="00000000" w:rsidP="00000000" w:rsidRDefault="00000000" w:rsidRPr="00000000" w14:paraId="000000B6">
          <w:pPr>
            <w:rPr/>
          </w:pPr>
          <w:r w:rsidDel="00000000" w:rsidR="00000000" w:rsidRPr="00000000">
            <w:rPr>
              <w:rFonts w:ascii="Aptos" w:cs="Aptos" w:eastAsia="Aptos" w:hAnsi="Aptos"/>
              <w:b w:val="1"/>
              <w:bCs w:val="1"/>
              <w:color w:val="102a43"/>
              <w:sz w:val="19"/>
              <w:szCs w:val="19"/>
              <w:rtl w:val="0"/>
            </w:rPr>
            <w:t xml:space="preserve">RÉSILIENCE 976</w:t>
          </w:r>
          <w:r w:rsidDel="00000000" w:rsidR="00000000" w:rsidRPr="00000000">
            <w:rPr>
              <w:rFonts w:ascii="Aptos" w:cs="Aptos" w:eastAsia="Aptos" w:hAnsi="Aptos"/>
              <w:color w:val="008c95"/>
              <w:sz w:val="18"/>
              <w:szCs w:val="18"/>
              <w:rtl w:val="0"/>
            </w:rPr>
            <w:t xml:space="preserve">  |  Mon Plan Résilience</w:t>
          </w:r>
          <w:r w:rsidDel="00000000" w:rsidR="00000000" w:rsidRPr="00000000">
            <w:rPr>
              <w:rtl w:val="0"/>
            </w:rPr>
          </w:r>
        </w:p>
      </w:tc>
      <w:tc>
        <w:tcPr>
          <w:tcBorders>
            <w:bottom w:color="cfe1e8" w:space="0" w:sz="8" w:val="single"/>
          </w:tcBorders>
          <w:shd w:fill="ffffff" w:val="clear"/>
        </w:tcPr>
        <w:p w:rsidR="00000000" w:rsidDel="00000000" w:rsidP="00000000" w:rsidRDefault="00000000" w:rsidRPr="00000000" w14:paraId="000000B7">
          <w:pPr>
            <w:jc w:val="right"/>
            <w:rPr/>
          </w:pPr>
          <w:r w:rsidDel="00000000" w:rsidR="00000000" w:rsidRPr="00000000">
            <w:rPr>
              <w:rFonts w:ascii="Aptos" w:cs="Aptos" w:eastAsia="Aptos" w:hAnsi="Aptos"/>
              <w:b w:val="1"/>
              <w:bCs w:val="1"/>
              <w:color w:val="52677a"/>
              <w:sz w:val="18"/>
              <w:szCs w:val="18"/>
              <w:rtl w:val="0"/>
            </w:rPr>
            <w:t xml:space="preserve">Annexe 02 - Démonstrateur</w:t>
          </w:r>
          <w:r w:rsidDel="00000000" w:rsidR="00000000" w:rsidRPr="00000000">
            <w:rPr>
              <w:rtl w:val="0"/>
            </w:rPr>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02a43"/>
        <w:sz w:val="21"/>
        <w:szCs w:val="21"/>
        <w:lang w:val="en"/>
      </w:rPr>
    </w:rPrDefault>
    <w:pPrDefault>
      <w:pPr>
        <w:spacing w:after="8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02a43"/>
      <w:sz w:val="36"/>
      <w:szCs w:val="36"/>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008c95"/>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02a43"/>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sePBdSxT7QqouL6yTZN1BM+DHQ==">CgMxLjA4AHIhMU4tSHp3WmVXcDZWX0x5ZWwybENRaWNXQzhUdklpT0dV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