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Arial" w:hAnsi="Arial"/>
          <w:b/>
          <w:color w:val="173C66"/>
          <w:sz w:val="56"/>
        </w:rPr>
        <w:t>MON PLAN</w:t>
      </w:r>
    </w:p>
    <w:p>
      <w:pPr>
        <w:spacing w:before="0" w:after="160"/>
      </w:pPr>
      <w:r>
        <w:rPr>
          <w:rFonts w:ascii="Arial" w:hAnsi="Arial"/>
          <w:b/>
          <w:color w:val="0B7165"/>
          <w:sz w:val="56"/>
        </w:rPr>
        <w:t>RÉSILIENCE 976</w:t>
      </w:r>
    </w:p>
    <w:tbl>
      <w:tblPr>
        <w:tblW w:type="auto" w:w="0"/>
        <w:jc w:val="center"/>
        <w:tblLayout w:type="fixed"/>
        <w:tblLook w:firstColumn="1" w:firstRow="1" w:lastColumn="0" w:lastRow="0" w:noHBand="0" w:noVBand="1" w:val="04A0"/>
      </w:tblPr>
      <w:tblGrid>
        <w:gridCol w:w="10091"/>
      </w:tblGrid>
      <w:tr>
        <w:trPr>
          <w:cantSplit/>
        </w:trPr>
        <w:tc>
          <w:tcPr>
            <w:tcW w:type="dxa" w:w="10148"/>
            <w:shd w:fill="173C66"/>
            <w:tcMar>
              <w:top w:w="190" w:type="dxa"/>
              <w:start w:w="220" w:type="dxa"/>
              <w:bottom w:w="190" w:type="dxa"/>
              <w:end w:w="220" w:type="dxa"/>
            </w:tcMar>
          </w:tcPr>
          <w:p>
            <w:pPr>
              <w:spacing w:after="80"/>
            </w:pPr>
            <w:r/>
            <w:r>
              <w:rPr>
                <w:rFonts w:ascii="Arial" w:hAnsi="Arial"/>
                <w:b/>
                <w:color w:val="FFFFFF"/>
                <w:sz w:val="36"/>
              </w:rPr>
              <w:t>RAPPORT DE TESTS DU DIAGNOSTIC ET DES RESTITUTIONS</w:t>
            </w:r>
          </w:p>
          <w:p>
            <w:pPr>
              <w:spacing w:after="0"/>
            </w:pPr>
            <w:r>
              <w:rPr>
                <w:rFonts w:ascii="Arial" w:hAnsi="Arial"/>
                <w:color w:val="DCE7F0"/>
                <w:sz w:val="20"/>
              </w:rPr>
              <w:t>Annexe 05 — Journée nationale de la résilience 2026</w:t>
            </w:r>
          </w:p>
        </w:tc>
      </w:tr>
    </w:tbl>
    <w:p/>
    <w:tbl>
      <w:tblPr>
        <w:tblW w:type="auto" w:w="0"/>
        <w:jc w:val="center"/>
        <w:tblLayout w:type="fixed"/>
        <w:tblLook w:firstColumn="1" w:firstRow="1" w:lastColumn="0" w:lastRow="0" w:noHBand="0" w:noVBand="1" w:val="04A0"/>
      </w:tblPr>
      <w:tblGrid>
        <w:gridCol w:w="198"/>
        <w:gridCol w:w="9893"/>
      </w:tblGrid>
      <w:tr>
        <w:trPr>
          <w:cantSplit/>
        </w:trPr>
        <w:tc>
          <w:tcPr>
            <w:tcW w:type="dxa" w:w="5074"/>
            <w:shd w:fill="F39C34"/>
            <w:tcMar>
              <w:top w:w="100" w:type="dxa"/>
              <w:start w:w="0" w:type="dxa"/>
              <w:bottom w:w="100" w:type="dxa"/>
              <w:end w:w="0" w:type="dxa"/>
            </w:tcMar>
          </w:tcPr>
          <w:p/>
        </w:tc>
        <w:tc>
          <w:tcPr>
            <w:tcW w:type="dxa" w:w="5074"/>
            <w:shd w:fill="FFF3E5"/>
            <w:tcMar>
              <w:top w:w="110" w:type="dxa"/>
              <w:start w:w="150" w:type="dxa"/>
              <w:bottom w:w="110" w:type="dxa"/>
              <w:end w:w="150" w:type="dxa"/>
            </w:tcMar>
          </w:tcPr>
          <w:p>
            <w:pPr>
              <w:spacing w:after="40"/>
            </w:pPr>
            <w:r/>
            <w:r>
              <w:rPr>
                <w:rFonts w:ascii="Arial" w:hAnsi="Arial"/>
                <w:b/>
                <w:color w:val="173C66"/>
                <w:sz w:val="20"/>
              </w:rPr>
              <w:t>Version préparatoire de recette</w:t>
            </w:r>
          </w:p>
          <w:p>
            <w:pPr>
              <w:spacing w:after="0"/>
            </w:pPr>
            <w:r>
              <w:rPr>
                <w:rFonts w:ascii="Arial" w:hAnsi="Arial"/>
                <w:color w:val="1E2A3A"/>
                <w:sz w:val="17"/>
              </w:rPr>
              <w:t>Ce document consolide les éléments démontrés par le prototype et formalise les tests à exécuter avant l’ouverture publique. Les résultats non observés ne sont pas déclarés conformes : ils restent explicitement indiqués « À exécuter » ou « À finaliser ».</w:t>
            </w:r>
          </w:p>
        </w:tc>
      </w:tr>
    </w:tbl>
    <w:p/>
    <w:tbl>
      <w:tblPr>
        <w:tblW w:type="auto" w:w="0"/>
        <w:jc w:val="center"/>
        <w:tblLayout w:type="fixed"/>
        <w:tblLook w:firstColumn="1" w:firstRow="1" w:lastColumn="0" w:lastRow="0" w:noHBand="0" w:noVBand="1" w:val="04A0"/>
      </w:tblPr>
      <w:tblGrid>
        <w:gridCol w:w="2948"/>
        <w:gridCol w:w="7143"/>
      </w:tblGrid>
      <w:tr>
        <w:trPr>
          <w:cantSplit/>
        </w:trPr>
        <w:tc>
          <w:tcPr>
            <w:tcW w:type="dxa" w:w="5074"/>
            <w:shd w:fill="EAF2F7"/>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color w:val="173C66"/>
                <w:sz w:val="18"/>
              </w:rPr>
              <w:t>Porteur</w:t>
            </w:r>
          </w:p>
        </w:tc>
        <w:tc>
          <w:tcPr>
            <w:tcW w:type="dxa" w:w="5074"/>
            <w:shd w:fill="FFFFFF"/>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val="0"/>
                <w:color w:val="1E2A3A"/>
                <w:sz w:val="18"/>
              </w:rPr>
              <w:t>GT SAS</w:t>
            </w:r>
          </w:p>
        </w:tc>
      </w:tr>
      <w:tr>
        <w:trPr>
          <w:cantSplit/>
        </w:trPr>
        <w:tc>
          <w:tcPr>
            <w:tcW w:type="dxa" w:w="5074"/>
            <w:shd w:fill="EAF2F7"/>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color w:val="173C66"/>
                <w:sz w:val="18"/>
              </w:rPr>
              <w:t>Territoire</w:t>
            </w:r>
          </w:p>
        </w:tc>
        <w:tc>
          <w:tcPr>
            <w:tcW w:type="dxa" w:w="5074"/>
            <w:shd w:fill="FFFFFF"/>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val="0"/>
                <w:color w:val="1E2A3A"/>
                <w:sz w:val="18"/>
              </w:rPr>
              <w:t>Mayotte (976)</w:t>
            </w:r>
          </w:p>
        </w:tc>
      </w:tr>
      <w:tr>
        <w:trPr>
          <w:cantSplit/>
        </w:trPr>
        <w:tc>
          <w:tcPr>
            <w:tcW w:type="dxa" w:w="5074"/>
            <w:shd w:fill="EAF2F7"/>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color w:val="173C66"/>
                <w:sz w:val="18"/>
              </w:rPr>
              <w:t>Version</w:t>
            </w:r>
          </w:p>
        </w:tc>
        <w:tc>
          <w:tcPr>
            <w:tcW w:type="dxa" w:w="5074"/>
            <w:shd w:fill="FFFFFF"/>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val="0"/>
                <w:color w:val="1E2A3A"/>
                <w:sz w:val="18"/>
              </w:rPr>
              <w:t>V1 — 5 août 2026</w:t>
            </w:r>
          </w:p>
        </w:tc>
      </w:tr>
      <w:tr>
        <w:trPr>
          <w:cantSplit/>
        </w:trPr>
        <w:tc>
          <w:tcPr>
            <w:tcW w:type="dxa" w:w="5074"/>
            <w:shd w:fill="EAF2F7"/>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color w:val="173C66"/>
                <w:sz w:val="18"/>
              </w:rPr>
              <w:t>Démonstrateur</w:t>
            </w:r>
          </w:p>
        </w:tc>
        <w:tc>
          <w:tcPr>
            <w:tcW w:type="dxa" w:w="5074"/>
            <w:shd w:fill="FFFFFF"/>
            <w:tcBorders>
              <w:top w:sz="4" w:val="single" w:color="D8E0E7"/>
              <w:left w:sz="4" w:val="single" w:color="D8E0E7"/>
              <w:bottom w:sz="4" w:val="single" w:color="D8E0E7"/>
              <w:right w:sz="4" w:val="single" w:color="D8E0E7"/>
            </w:tcBorders>
            <w:tcMar>
              <w:top w:w="90" w:type="dxa"/>
              <w:start w:w="100" w:type="dxa"/>
              <w:bottom w:w="90" w:type="dxa"/>
              <w:end w:w="100" w:type="dxa"/>
            </w:tcMar>
          </w:tcPr>
          <w:p>
            <w:pPr>
              <w:spacing w:after="0" w:before="0" w:line="240" w:lineRule="auto"/>
              <w:jc w:val="left"/>
            </w:pPr>
            <w:r/>
            <w:r>
              <w:rPr>
                <w:rFonts w:ascii="Arial" w:hAnsi="Arial"/>
                <w:b w:val="0"/>
                <w:color w:val="1E2A3A"/>
                <w:sz w:val="18"/>
              </w:rPr>
              <w:t>https://resilience-976.netlify.app/</w:t>
            </w:r>
          </w:p>
        </w:tc>
      </w:tr>
    </w:tbl>
    <w:p/>
    <w:p>
      <w:pPr>
        <w:spacing w:before="120"/>
        <w:jc w:val="center"/>
      </w:pPr>
      <w:r>
        <w:rPr>
          <w:rFonts w:ascii="Arial" w:hAnsi="Arial"/>
          <w:b/>
          <w:color w:val="173C66"/>
          <w:sz w:val="20"/>
        </w:rPr>
        <w:t>Objectif : vérifier que les réponses du diagnostic produisent des résultats cohérents, compréhensibles, personnalisés et sûrs.</w:t>
      </w:r>
    </w:p>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1</w:t>
            </w:r>
          </w:p>
        </w:tc>
        <w:tc>
          <w:tcPr>
            <w:tcW w:type="dxa" w:w="5074"/>
            <w:shd w:fill="173C66"/>
            <w:tcMar>
              <w:top w:w="130" w:type="dxa"/>
              <w:start w:w="110" w:type="dxa"/>
              <w:bottom w:w="130" w:type="dxa"/>
              <w:end w:w="110" w:type="dxa"/>
            </w:tcMar>
          </w:tcPr>
          <w:p>
            <w:pPr>
              <w:spacing w:after="0"/>
            </w:pPr>
            <w:r/>
            <w:r>
              <w:rPr>
                <w:rFonts w:ascii="Arial" w:hAnsi="Arial"/>
                <w:b/>
                <w:color w:val="FFFFFF"/>
                <w:sz w:val="34"/>
              </w:rPr>
              <w:t>Objet, portée et niveau de preuve</w:t>
            </w:r>
          </w:p>
          <w:p>
            <w:pPr>
              <w:spacing w:before="40" w:after="0"/>
            </w:pPr>
            <w:r>
              <w:rPr>
                <w:rFonts w:ascii="Arial" w:hAnsi="Arial"/>
                <w:color w:val="DDE7F0"/>
                <w:sz w:val="17"/>
              </w:rPr>
              <w:t>Un rapport qui distingue clairement ce qui est démontré, ce qui est documenté et ce qui reste à exécuter</w:t>
            </w:r>
          </w:p>
        </w:tc>
      </w:tr>
    </w:tbl>
    <w:p>
      <w:pPr>
        <w:spacing w:after="0"/>
      </w:pPr>
    </w:p>
    <w:p>
      <w:pPr>
        <w:keepNext/>
        <w:spacing w:before="140" w:after="80"/>
        <w:pBdr>
          <w:bottom w:val="single" w:sz="8" w:space="2" w:color="173C66"/>
        </w:pBdr>
      </w:pPr>
      <w:r>
        <w:rPr>
          <w:rFonts w:ascii="Arial" w:hAnsi="Arial"/>
          <w:b/>
          <w:color w:val="173C66"/>
          <w:sz w:val="25"/>
        </w:rPr>
        <w:t>1.1 Objet de la recette</w:t>
      </w:r>
    </w:p>
    <w:p>
      <w:pPr>
        <w:spacing w:after="80"/>
      </w:pPr>
      <w:r>
        <w:t>La recette vise à vérifier le fonctionnement du parcours central de Mon Plan Résilience 976, depuis les réponses au diagnostic jusqu’aux restitutions proposées à l’utilisateur. Elle doit confirmer que le moteur ne produit ni recommandation incohérente, ni priorité disproportionnée, ni résultat susceptible d’être interprété comme une garantie de sécurité.</w:t>
      </w:r>
    </w:p>
    <w:p>
      <w:pPr>
        <w:pStyle w:val="ListBullet"/>
        <w:spacing w:after="40"/>
        <w:ind w:left="255" w:hanging="102"/>
      </w:pPr>
      <w:r>
        <w:rPr>
          <w:rFonts w:ascii="Arial" w:hAnsi="Arial"/>
          <w:color w:val="1E2A3A"/>
          <w:sz w:val="18"/>
        </w:rPr>
        <w:t>Contrôler la cohérence du score global et des scores par domaine.</w:t>
      </w:r>
    </w:p>
    <w:p>
      <w:pPr>
        <w:pStyle w:val="ListBullet"/>
        <w:spacing w:after="40"/>
        <w:ind w:left="255" w:hanging="102"/>
      </w:pPr>
      <w:r>
        <w:rPr>
          <w:rFonts w:ascii="Arial" w:hAnsi="Arial"/>
          <w:color w:val="1E2A3A"/>
          <w:sz w:val="18"/>
        </w:rPr>
        <w:t>Vérifier la pertinence des trois à cinq priorités personnalisées.</w:t>
      </w:r>
    </w:p>
    <w:p>
      <w:pPr>
        <w:pStyle w:val="ListBullet"/>
        <w:spacing w:after="40"/>
        <w:ind w:left="255" w:hanging="102"/>
      </w:pPr>
      <w:r>
        <w:rPr>
          <w:rFonts w:ascii="Arial" w:hAnsi="Arial"/>
          <w:color w:val="1E2A3A"/>
          <w:sz w:val="18"/>
        </w:rPr>
        <w:t>Vérifier l’adaptation de la checklist et du kit d’urgence à la composition du foyer.</w:t>
      </w:r>
    </w:p>
    <w:p>
      <w:pPr>
        <w:pStyle w:val="ListBullet"/>
        <w:spacing w:after="40"/>
        <w:ind w:left="255" w:hanging="102"/>
      </w:pPr>
      <w:r>
        <w:rPr>
          <w:rFonts w:ascii="Arial" w:hAnsi="Arial"/>
          <w:color w:val="1E2A3A"/>
          <w:sz w:val="18"/>
        </w:rPr>
        <w:t>Tester les cas limites, les réponses inconnues et les profils présentant des besoins particuliers.</w:t>
      </w:r>
    </w:p>
    <w:p>
      <w:pPr>
        <w:pStyle w:val="ListBullet"/>
        <w:spacing w:after="40"/>
        <w:ind w:left="255" w:hanging="102"/>
      </w:pPr>
      <w:r>
        <w:rPr>
          <w:rFonts w:ascii="Arial" w:hAnsi="Arial"/>
          <w:color w:val="1E2A3A"/>
          <w:sz w:val="18"/>
        </w:rPr>
        <w:t>Conserver des preuves reproductibles : captures, PDF exportés, identifiant de version et journal d’anomalies.</w:t>
      </w:r>
    </w:p>
    <w:p>
      <w:pPr>
        <w:keepNext/>
        <w:spacing w:before="140" w:after="80"/>
        <w:pBdr>
          <w:bottom w:val="single" w:sz="8" w:space="2" w:color="173C66"/>
        </w:pBdr>
      </w:pPr>
      <w:r>
        <w:rPr>
          <w:rFonts w:ascii="Arial" w:hAnsi="Arial"/>
          <w:b/>
          <w:color w:val="173C66"/>
          <w:sz w:val="25"/>
        </w:rPr>
        <w:t>1.2 Périmètre</w:t>
      </w:r>
    </w:p>
    <w:tbl>
      <w:tblPr>
        <w:tblW w:type="auto" w:w="0"/>
        <w:jc w:val="center"/>
        <w:tblLayout w:type="fixed"/>
        <w:tblLook w:firstColumn="1" w:firstRow="1" w:lastColumn="0" w:lastRow="0" w:noHBand="0" w:noVBand="1" w:val="04A0"/>
      </w:tblPr>
      <w:tblGrid>
        <w:gridCol w:w="1814"/>
        <w:gridCol w:w="8277"/>
      </w:tblGrid>
      <w:tr>
        <w:trPr>
          <w:tblHeader w:val="true"/>
          <w:cantSplit/>
        </w:trPr>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Périmètre</w:t>
            </w:r>
          </w:p>
        </w:tc>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Éléments</w:t>
            </w:r>
          </w:p>
        </w:tc>
      </w:tr>
      <w:tr>
        <w:trPr>
          <w:cantSplit/>
        </w:trPr>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Inclus</w:t>
            </w:r>
          </w:p>
        </w:tc>
        <w:tc>
          <w:tcPr>
            <w:tcW w:type="dxa" w:w="827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Accueil, diagnostic en 24 questions, score, priorités, actions sous sept jours, checklist, kit d’urgence, ressources, attestation et export.</w:t>
            </w:r>
          </w:p>
        </w:tc>
      </w:tr>
      <w:tr>
        <w:trPr>
          <w:cantSplit/>
        </w:trPr>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Contrôles transverses</w:t>
            </w:r>
          </w:p>
        </w:tc>
        <w:tc>
          <w:tcPr>
            <w:tcW w:type="dxa" w:w="827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Conservation locale, effacement, compatibilité mobile, navigation clavier, lisibilité et cohérence des sources.</w:t>
            </w:r>
          </w:p>
        </w:tc>
      </w:tr>
      <w:tr>
        <w:trPr>
          <w:cantSplit/>
        </w:trPr>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Hors périmètre</w:t>
            </w:r>
          </w:p>
        </w:tc>
        <w:tc>
          <w:tcPr>
            <w:tcW w:type="dxa" w:w="827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Alerte en temps réel, cartographie opérationnelle, prévisions météorologiques, conseil médical individuel et certification professionnelle.</w:t>
            </w:r>
          </w:p>
        </w:tc>
      </w:tr>
    </w:tbl>
    <w:p>
      <w:pPr>
        <w:keepNext/>
        <w:spacing w:before="140" w:after="80"/>
        <w:pBdr>
          <w:bottom w:val="single" w:sz="8" w:space="2" w:color="173C66"/>
        </w:pBdr>
      </w:pPr>
      <w:r>
        <w:rPr>
          <w:rFonts w:ascii="Arial" w:hAnsi="Arial"/>
          <w:b/>
          <w:color w:val="173C66"/>
          <w:sz w:val="25"/>
        </w:rPr>
        <w:t>1.3 Niveaux de preuve utilisés</w:t>
      </w:r>
    </w:p>
    <w:tbl>
      <w:tblPr>
        <w:tblW w:type="auto" w:w="0"/>
        <w:jc w:val="center"/>
        <w:tblLayout w:type="fixed"/>
        <w:tblLook w:firstColumn="1" w:firstRow="1" w:lastColumn="0" w:lastRow="0" w:noHBand="0" w:noVBand="1" w:val="04A0"/>
      </w:tblPr>
      <w:tblGrid>
        <w:gridCol w:w="1814"/>
        <w:gridCol w:w="8277"/>
      </w:tblGrid>
      <w:tr>
        <w:trPr>
          <w:tblHeader w:val="true"/>
          <w:cantSplit/>
        </w:trPr>
        <w:tc>
          <w:tcPr>
            <w:tcW w:type="dxa" w:w="5074"/>
            <w:shd w:fill="0B7165"/>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Niveau</w:t>
            </w:r>
          </w:p>
        </w:tc>
        <w:tc>
          <w:tcPr>
            <w:tcW w:type="dxa" w:w="5074"/>
            <w:shd w:fill="0B7165"/>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Définition</w:t>
            </w:r>
          </w:p>
        </w:tc>
      </w:tr>
      <w:tr>
        <w:trPr>
          <w:cantSplit/>
        </w:trPr>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P1 — Démontré</w:t>
            </w:r>
          </w:p>
        </w:tc>
        <w:tc>
          <w:tcPr>
            <w:tcW w:type="dxa" w:w="827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Fonction ou écran visible dans les captures de l’annexe 02.</w:t>
            </w:r>
          </w:p>
        </w:tc>
      </w:tr>
      <w:tr>
        <w:trPr>
          <w:cantSplit/>
        </w:trPr>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P2 — Documenté</w:t>
            </w:r>
          </w:p>
        </w:tc>
        <w:tc>
          <w:tcPr>
            <w:tcW w:type="dxa" w:w="827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Comportement annoncé dans le dossier principal ou la note de conformité, sans exécution observée dans le présent rapport.</w:t>
            </w:r>
          </w:p>
        </w:tc>
      </w:tr>
      <w:tr>
        <w:trPr>
          <w:cantSplit/>
        </w:trPr>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P3 — Testé</w:t>
            </w:r>
          </w:p>
        </w:tc>
        <w:tc>
          <w:tcPr>
            <w:tcW w:type="dxa" w:w="827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Scénario exécuté, résultat comparé aux critères et preuve conservée.</w:t>
            </w:r>
          </w:p>
        </w:tc>
      </w:tr>
      <w:tr>
        <w:trPr>
          <w:cantSplit/>
        </w:trPr>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P4 — Validé</w:t>
            </w:r>
          </w:p>
        </w:tc>
        <w:tc>
          <w:tcPr>
            <w:tcW w:type="dxa" w:w="827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Test conforme et, pour les contenus sensibles, recommandation rapprochée d’une source officielle ou relue.</w:t>
            </w:r>
          </w:p>
        </w:tc>
      </w:tr>
    </w:tbl>
    <w:tbl>
      <w:tblPr>
        <w:tblW w:type="auto" w:w="0"/>
        <w:jc w:val="center"/>
        <w:tblLayout w:type="fixed"/>
        <w:tblLook w:firstColumn="1" w:firstRow="1" w:lastColumn="0" w:lastRow="0" w:noHBand="0" w:noVBand="1" w:val="04A0"/>
      </w:tblPr>
      <w:tblGrid>
        <w:gridCol w:w="198"/>
        <w:gridCol w:w="9893"/>
      </w:tblGrid>
      <w:tr>
        <w:trPr>
          <w:cantSplit/>
        </w:trPr>
        <w:tc>
          <w:tcPr>
            <w:tcW w:type="dxa" w:w="5074"/>
            <w:shd w:fill="159B89"/>
            <w:tcMar>
              <w:top w:w="100" w:type="dxa"/>
              <w:start w:w="0" w:type="dxa"/>
              <w:bottom w:w="100" w:type="dxa"/>
              <w:end w:w="0" w:type="dxa"/>
            </w:tcMar>
          </w:tcPr>
          <w:p/>
        </w:tc>
        <w:tc>
          <w:tcPr>
            <w:tcW w:type="dxa" w:w="5074"/>
            <w:shd w:fill="EAF2F7"/>
            <w:tcMar>
              <w:top w:w="110" w:type="dxa"/>
              <w:start w:w="150" w:type="dxa"/>
              <w:bottom w:w="110" w:type="dxa"/>
              <w:end w:w="150" w:type="dxa"/>
            </w:tcMar>
          </w:tcPr>
          <w:p>
            <w:pPr>
              <w:spacing w:after="40"/>
            </w:pPr>
            <w:r/>
            <w:r>
              <w:rPr>
                <w:rFonts w:ascii="Arial" w:hAnsi="Arial"/>
                <w:b/>
                <w:color w:val="173C66"/>
                <w:sz w:val="20"/>
              </w:rPr>
              <w:t>Principe de sincérité</w:t>
            </w:r>
          </w:p>
          <w:p>
            <w:pPr>
              <w:spacing w:after="0"/>
            </w:pPr>
            <w:r>
              <w:rPr>
                <w:rFonts w:ascii="Arial" w:hAnsi="Arial"/>
                <w:color w:val="1E2A3A"/>
                <w:sz w:val="17"/>
              </w:rPr>
              <w:t>Une fonction n’est pas considérée comme testée uniquement parce qu’elle est décrite ou visible dans une capture. Le statut « Conforme » ne sera attribué qu’après exécution du scénario et conservation de la preuve.</w:t>
            </w:r>
          </w:p>
        </w:tc>
      </w:tr>
    </w:tbl>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2</w:t>
            </w:r>
          </w:p>
        </w:tc>
        <w:tc>
          <w:tcPr>
            <w:tcW w:type="dxa" w:w="5074"/>
            <w:shd w:fill="173C66"/>
            <w:tcMar>
              <w:top w:w="130" w:type="dxa"/>
              <w:start w:w="110" w:type="dxa"/>
              <w:bottom w:w="130" w:type="dxa"/>
              <w:end w:w="110" w:type="dxa"/>
            </w:tcMar>
          </w:tcPr>
          <w:p>
            <w:pPr>
              <w:spacing w:after="0"/>
            </w:pPr>
            <w:r/>
            <w:r>
              <w:rPr>
                <w:rFonts w:ascii="Arial" w:hAnsi="Arial"/>
                <w:b/>
                <w:color w:val="FFFFFF"/>
                <w:sz w:val="34"/>
              </w:rPr>
              <w:t>Méthode de test et critères d’acceptation</w:t>
            </w:r>
          </w:p>
          <w:p>
            <w:pPr>
              <w:spacing w:before="40" w:after="0"/>
            </w:pPr>
            <w:r>
              <w:rPr>
                <w:rFonts w:ascii="Arial" w:hAnsi="Arial"/>
                <w:color w:val="DDE7F0"/>
                <w:sz w:val="17"/>
              </w:rPr>
              <w:t>Une recette reproductible, fondée sur des profils de foyers et des résultats attendus</w:t>
            </w:r>
          </w:p>
        </w:tc>
      </w:tr>
    </w:tbl>
    <w:p>
      <w:pPr>
        <w:spacing w:after="0"/>
      </w:pPr>
    </w:p>
    <w:p>
      <w:pPr>
        <w:keepNext/>
        <w:spacing w:before="140" w:after="80"/>
        <w:pBdr>
          <w:bottom w:val="single" w:sz="8" w:space="2" w:color="173C66"/>
        </w:pBdr>
      </w:pPr>
      <w:r>
        <w:rPr>
          <w:rFonts w:ascii="Arial" w:hAnsi="Arial"/>
          <w:b/>
          <w:color w:val="173C66"/>
          <w:sz w:val="25"/>
        </w:rPr>
        <w:t>2.1 Environnement à consigner</w:t>
      </w:r>
    </w:p>
    <w:tbl>
      <w:tblPr>
        <w:tblW w:type="auto" w:w="0"/>
        <w:jc w:val="center"/>
        <w:tblLayout w:type="fixed"/>
        <w:tblLook w:firstColumn="1" w:firstRow="1" w:lastColumn="0" w:lastRow="0" w:noHBand="0" w:noVBand="1" w:val="04A0"/>
      </w:tblPr>
      <w:tblGrid>
        <w:gridCol w:w="2324"/>
        <w:gridCol w:w="7767"/>
      </w:tblGrid>
      <w:tr>
        <w:trPr>
          <w:tblHeader w:val="true"/>
          <w:cantSplit/>
        </w:trPr>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Élément</w:t>
            </w:r>
          </w:p>
        </w:tc>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Exigence</w:t>
            </w:r>
          </w:p>
        </w:tc>
      </w:tr>
      <w:tr>
        <w:trPr>
          <w:cantSplit/>
        </w:trPr>
        <w:tc>
          <w:tcPr>
            <w:tcW w:type="dxa" w:w="23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Version du prototype</w:t>
            </w:r>
          </w:p>
        </w:tc>
        <w:tc>
          <w:tcPr>
            <w:tcW w:type="dxa" w:w="77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À renseigner au moment du test : date, numéro de version ou commit.</w:t>
            </w:r>
          </w:p>
        </w:tc>
      </w:tr>
      <w:tr>
        <w:trPr>
          <w:cantSplit/>
        </w:trPr>
        <w:tc>
          <w:tcPr>
            <w:tcW w:type="dxa" w:w="23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Navigateurs</w:t>
            </w:r>
          </w:p>
        </w:tc>
        <w:tc>
          <w:tcPr>
            <w:tcW w:type="dxa" w:w="776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Chromium/Chrome, Firefox et Safari ou navigateur mobile disponible.</w:t>
            </w:r>
          </w:p>
        </w:tc>
      </w:tr>
      <w:tr>
        <w:trPr>
          <w:cantSplit/>
        </w:trPr>
        <w:tc>
          <w:tcPr>
            <w:tcW w:type="dxa" w:w="23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Supports</w:t>
            </w:r>
          </w:p>
        </w:tc>
        <w:tc>
          <w:tcPr>
            <w:tcW w:type="dxa" w:w="77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Smartphone étroit, smartphone standard, tablette et ordinateur.</w:t>
            </w:r>
          </w:p>
        </w:tc>
      </w:tr>
      <w:tr>
        <w:trPr>
          <w:cantSplit/>
        </w:trPr>
        <w:tc>
          <w:tcPr>
            <w:tcW w:type="dxa" w:w="23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Données</w:t>
            </w:r>
          </w:p>
        </w:tc>
        <w:tc>
          <w:tcPr>
            <w:tcW w:type="dxa" w:w="776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Profils fictifs ou testeurs anonymisés ; aucune donnée médicale détaillée.</w:t>
            </w:r>
          </w:p>
        </w:tc>
      </w:tr>
      <w:tr>
        <w:trPr>
          <w:cantSplit/>
        </w:trPr>
        <w:tc>
          <w:tcPr>
            <w:tcW w:type="dxa" w:w="23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Preuves</w:t>
            </w:r>
          </w:p>
        </w:tc>
        <w:tc>
          <w:tcPr>
            <w:tcW w:type="dxa" w:w="77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Capture du résultat, export PDF, checklist, kit et éventuelle anomalie.</w:t>
            </w:r>
          </w:p>
        </w:tc>
      </w:tr>
    </w:tbl>
    <w:p>
      <w:pPr>
        <w:keepNext/>
        <w:spacing w:before="140" w:after="80"/>
        <w:pBdr>
          <w:bottom w:val="single" w:sz="8" w:space="2" w:color="173C66"/>
        </w:pBdr>
      </w:pPr>
      <w:r>
        <w:rPr>
          <w:rFonts w:ascii="Arial" w:hAnsi="Arial"/>
          <w:b/>
          <w:color w:val="173C66"/>
          <w:sz w:val="25"/>
        </w:rPr>
        <w:t>2.2 Critères généraux d’acceptation</w:t>
      </w:r>
    </w:p>
    <w:tbl>
      <w:tblPr>
        <w:tblW w:type="auto" w:w="0"/>
        <w:jc w:val="center"/>
        <w:tblLayout w:type="fixed"/>
        <w:tblLook w:firstColumn="1" w:firstRow="1" w:lastColumn="0" w:lastRow="0" w:noHBand="0" w:noVBand="1" w:val="04A0"/>
      </w:tblPr>
      <w:tblGrid>
        <w:gridCol w:w="850"/>
        <w:gridCol w:w="9241"/>
      </w:tblGrid>
      <w:tr>
        <w:trPr>
          <w:tblHeader w:val="true"/>
          <w:cantSplit/>
        </w:trPr>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ID</w:t>
            </w:r>
          </w:p>
        </w:tc>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Critère</w:t>
            </w:r>
          </w:p>
        </w:tc>
      </w:tr>
      <w:tr>
        <w:trPr>
          <w:cantSplit/>
        </w:trPr>
        <w:tc>
          <w:tcPr>
            <w:tcW w:type="dxa" w:w="85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C01</w:t>
            </w:r>
          </w:p>
        </w:tc>
        <w:tc>
          <w:tcPr>
            <w:tcW w:type="dxa" w:w="924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 parcours peut être terminé sans compte et sans saisie d’identité obligatoire.</w:t>
            </w:r>
          </w:p>
        </w:tc>
      </w:tr>
      <w:tr>
        <w:trPr>
          <w:cantSplit/>
        </w:trPr>
        <w:tc>
          <w:tcPr>
            <w:tcW w:type="dxa" w:w="85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C02</w:t>
            </w:r>
          </w:p>
        </w:tc>
        <w:tc>
          <w:tcPr>
            <w:tcW w:type="dxa" w:w="924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 score reste dans l’intervalle 0 à 100 et évolue de manière logique selon les réponses.</w:t>
            </w:r>
          </w:p>
        </w:tc>
      </w:tr>
      <w:tr>
        <w:trPr>
          <w:cantSplit/>
        </w:trPr>
        <w:tc>
          <w:tcPr>
            <w:tcW w:type="dxa" w:w="85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C03</w:t>
            </w:r>
          </w:p>
        </w:tc>
        <w:tc>
          <w:tcPr>
            <w:tcW w:type="dxa" w:w="924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Une réponse plus favorable ne doit pas dégrader le score du domaine correspondant.</w:t>
            </w:r>
          </w:p>
        </w:tc>
      </w:tr>
      <w:tr>
        <w:trPr>
          <w:cantSplit/>
        </w:trPr>
        <w:tc>
          <w:tcPr>
            <w:tcW w:type="dxa" w:w="85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C04</w:t>
            </w:r>
          </w:p>
        </w:tc>
        <w:tc>
          <w:tcPr>
            <w:tcW w:type="dxa" w:w="924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Les priorités sont reliées à des réponses défavorables ou incertaines du foyer.</w:t>
            </w:r>
          </w:p>
        </w:tc>
      </w:tr>
      <w:tr>
        <w:trPr>
          <w:cantSplit/>
        </w:trPr>
        <w:tc>
          <w:tcPr>
            <w:tcW w:type="dxa" w:w="85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C05</w:t>
            </w:r>
          </w:p>
        </w:tc>
        <w:tc>
          <w:tcPr>
            <w:tcW w:type="dxa" w:w="924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Les recommandations critiques apparaissent avant les améliorations de confort.</w:t>
            </w:r>
          </w:p>
        </w:tc>
      </w:tr>
      <w:tr>
        <w:trPr>
          <w:cantSplit/>
        </w:trPr>
        <w:tc>
          <w:tcPr>
            <w:tcW w:type="dxa" w:w="85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C06</w:t>
            </w:r>
          </w:p>
        </w:tc>
        <w:tc>
          <w:tcPr>
            <w:tcW w:type="dxa" w:w="924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La checklist et le kit ne contredisent pas les réponses ni la composition du foyer.</w:t>
            </w:r>
          </w:p>
        </w:tc>
      </w:tr>
      <w:tr>
        <w:trPr>
          <w:cantSplit/>
        </w:trPr>
        <w:tc>
          <w:tcPr>
            <w:tcW w:type="dxa" w:w="85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C07</w:t>
            </w:r>
          </w:p>
        </w:tc>
        <w:tc>
          <w:tcPr>
            <w:tcW w:type="dxa" w:w="924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Les contenus non validés sont identifiés ou retirés avant ouverture publique.</w:t>
            </w:r>
          </w:p>
        </w:tc>
      </w:tr>
      <w:tr>
        <w:trPr>
          <w:cantSplit/>
        </w:trPr>
        <w:tc>
          <w:tcPr>
            <w:tcW w:type="dxa" w:w="85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C08</w:t>
            </w:r>
          </w:p>
        </w:tc>
        <w:tc>
          <w:tcPr>
            <w:tcW w:type="dxa" w:w="924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 score et l’attestation ne sont jamais présentés comme une garantie ou une certification.</w:t>
            </w:r>
          </w:p>
        </w:tc>
      </w:tr>
      <w:tr>
        <w:trPr>
          <w:cantSplit/>
        </w:trPr>
        <w:tc>
          <w:tcPr>
            <w:tcW w:type="dxa" w:w="85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C09</w:t>
            </w:r>
          </w:p>
        </w:tc>
        <w:tc>
          <w:tcPr>
            <w:tcW w:type="dxa" w:w="924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Les réponses restent locales ou sont traitées conformément à la note de confidentialité.</w:t>
            </w:r>
          </w:p>
        </w:tc>
      </w:tr>
      <w:tr>
        <w:trPr>
          <w:cantSplit/>
        </w:trPr>
        <w:tc>
          <w:tcPr>
            <w:tcW w:type="dxa" w:w="85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C10</w:t>
            </w:r>
          </w:p>
        </w:tc>
        <w:tc>
          <w:tcPr>
            <w:tcW w:type="dxa" w:w="924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L’utilisateur peut revenir, corriger ses réponses et effacer les données locales.</w:t>
            </w:r>
          </w:p>
        </w:tc>
      </w:tr>
    </w:tbl>
    <w:p>
      <w:pPr>
        <w:keepNext/>
        <w:spacing w:before="140" w:after="80"/>
        <w:pBdr>
          <w:bottom w:val="single" w:sz="8" w:space="2" w:color="173C66"/>
        </w:pBdr>
      </w:pPr>
      <w:r>
        <w:rPr>
          <w:rFonts w:ascii="Arial" w:hAnsi="Arial"/>
          <w:b/>
          <w:color w:val="173C66"/>
          <w:sz w:val="25"/>
        </w:rPr>
        <w:t>2.3 Statuts de recette</w:t>
      </w:r>
    </w:p>
    <w:tbl>
      <w:tblPr>
        <w:tblW w:type="auto" w:w="0"/>
        <w:jc w:val="center"/>
        <w:tblLayout w:type="fixed"/>
        <w:tblLook w:firstColumn="1" w:firstRow="1" w:lastColumn="0" w:lastRow="0" w:noHBand="0" w:noVBand="1" w:val="04A0"/>
      </w:tblPr>
      <w:tblGrid>
        <w:gridCol w:w="2381"/>
        <w:gridCol w:w="7710"/>
      </w:tblGrid>
      <w:tr>
        <w:trPr>
          <w:tblHeader w:val="true"/>
          <w:cantSplit/>
        </w:trPr>
        <w:tc>
          <w:tcPr>
            <w:tcW w:type="dxa" w:w="5074"/>
            <w:shd w:fill="0B7165"/>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Statut</w:t>
            </w:r>
          </w:p>
        </w:tc>
        <w:tc>
          <w:tcPr>
            <w:tcW w:type="dxa" w:w="5074"/>
            <w:shd w:fill="0B7165"/>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7"/>
              </w:rPr>
              <w:t>Interprétation</w:t>
            </w:r>
          </w:p>
        </w:tc>
      </w:tr>
      <w:tr>
        <w:trPr>
          <w:cantSplit/>
        </w:trPr>
        <w:tc>
          <w:tcPr>
            <w:tcW w:type="dxa" w:w="238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Conforme</w:t>
            </w:r>
          </w:p>
        </w:tc>
        <w:tc>
          <w:tcPr>
            <w:tcW w:type="dxa" w:w="771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Résultat observé conforme aux critères et preuve enregistrée.</w:t>
            </w:r>
          </w:p>
        </w:tc>
      </w:tr>
      <w:tr>
        <w:trPr>
          <w:cantSplit/>
        </w:trPr>
        <w:tc>
          <w:tcPr>
            <w:tcW w:type="dxa" w:w="238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Conforme avec réserve</w:t>
            </w:r>
          </w:p>
        </w:tc>
        <w:tc>
          <w:tcPr>
            <w:tcW w:type="dxa" w:w="771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Fonction opérationnelle, mais correction éditoriale ou mineure nécessaire.</w:t>
            </w:r>
          </w:p>
        </w:tc>
      </w:tr>
      <w:tr>
        <w:trPr>
          <w:cantSplit/>
        </w:trPr>
        <w:tc>
          <w:tcPr>
            <w:tcW w:type="dxa" w:w="238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Non conforme</w:t>
            </w:r>
          </w:p>
        </w:tc>
        <w:tc>
          <w:tcPr>
            <w:tcW w:type="dxa" w:w="771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Écart fonctionnel, résultat dangereux, incohérence ou défaut bloquant.</w:t>
            </w:r>
          </w:p>
        </w:tc>
      </w:tr>
      <w:tr>
        <w:trPr>
          <w:cantSplit/>
        </w:trPr>
        <w:tc>
          <w:tcPr>
            <w:tcW w:type="dxa" w:w="238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Non testé</w:t>
            </w:r>
          </w:p>
        </w:tc>
        <w:tc>
          <w:tcPr>
            <w:tcW w:type="dxa" w:w="7710"/>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Scénario non encore exécuté.</w:t>
            </w:r>
          </w:p>
        </w:tc>
      </w:tr>
      <w:tr>
        <w:trPr>
          <w:cantSplit/>
        </w:trPr>
        <w:tc>
          <w:tcPr>
            <w:tcW w:type="dxa" w:w="238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Non applicable</w:t>
            </w:r>
          </w:p>
        </w:tc>
        <w:tc>
          <w:tcPr>
            <w:tcW w:type="dxa" w:w="7710"/>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7"/>
              </w:rPr>
              <w:t>Critère sans objet pour le scénario concerné.</w:t>
            </w:r>
          </w:p>
        </w:tc>
      </w:tr>
    </w:tbl>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3</w:t>
            </w:r>
          </w:p>
        </w:tc>
        <w:tc>
          <w:tcPr>
            <w:tcW w:type="dxa" w:w="5074"/>
            <w:shd w:fill="173C66"/>
            <w:tcMar>
              <w:top w:w="130" w:type="dxa"/>
              <w:start w:w="110" w:type="dxa"/>
              <w:bottom w:w="130" w:type="dxa"/>
              <w:end w:w="110" w:type="dxa"/>
            </w:tcMar>
          </w:tcPr>
          <w:p>
            <w:pPr>
              <w:spacing w:after="0"/>
            </w:pPr>
            <w:r/>
            <w:r>
              <w:rPr>
                <w:rFonts w:ascii="Arial" w:hAnsi="Arial"/>
                <w:b/>
                <w:color w:val="FFFFFF"/>
                <w:sz w:val="34"/>
              </w:rPr>
              <w:t>État initial établi à partir des pièces existantes</w:t>
            </w:r>
          </w:p>
          <w:p>
            <w:pPr>
              <w:spacing w:before="40" w:after="0"/>
            </w:pPr>
            <w:r>
              <w:rPr>
                <w:rFonts w:ascii="Arial" w:hAnsi="Arial"/>
                <w:color w:val="DDE7F0"/>
                <w:sz w:val="17"/>
              </w:rPr>
              <w:t>Synthèse documentaire préalable à l’exécution des scénarios</w:t>
            </w:r>
          </w:p>
        </w:tc>
      </w:tr>
    </w:tbl>
    <w:p>
      <w:pPr>
        <w:spacing w:after="0"/>
      </w:pPr>
    </w:p>
    <w:p>
      <w:pPr>
        <w:keepNext/>
        <w:spacing w:before="140" w:after="80"/>
        <w:pBdr>
          <w:bottom w:val="single" w:sz="8" w:space="2" w:color="173C66"/>
        </w:pBdr>
      </w:pPr>
      <w:r>
        <w:rPr>
          <w:rFonts w:ascii="Arial" w:hAnsi="Arial"/>
          <w:b/>
          <w:color w:val="173C66"/>
          <w:sz w:val="25"/>
        </w:rPr>
        <w:t>3.1 Niveau de maturité observé dans l’annexe 02</w:t>
      </w:r>
    </w:p>
    <w:tbl>
      <w:tblPr>
        <w:tblW w:type="auto" w:w="0"/>
        <w:jc w:val="center"/>
        <w:tblLayout w:type="fixed"/>
        <w:tblLook w:firstColumn="1" w:firstRow="1" w:lastColumn="0" w:lastRow="0" w:noHBand="0" w:noVBand="1" w:val="04A0"/>
      </w:tblPr>
      <w:tblGrid>
        <w:gridCol w:w="1928"/>
        <w:gridCol w:w="1701"/>
        <w:gridCol w:w="1531"/>
        <w:gridCol w:w="4932"/>
      </w:tblGrid>
      <w:tr>
        <w:trPr>
          <w:tblHeader w:val="true"/>
          <w:cantSplit/>
        </w:trPr>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5"/>
              </w:rPr>
              <w:t>Fonction</w:t>
            </w:r>
          </w:p>
        </w:tc>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5"/>
              </w:rPr>
              <w:t>État annoncé</w:t>
            </w:r>
          </w:p>
        </w:tc>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5"/>
              </w:rPr>
              <w:t>Preuve</w:t>
            </w:r>
          </w:p>
        </w:tc>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5"/>
              </w:rPr>
              <w:t>Observation</w:t>
            </w:r>
          </w:p>
        </w:tc>
      </w:tr>
      <w:tr>
        <w:trPr>
          <w:cantSplit/>
        </w:trPr>
        <w:tc>
          <w:tcPr>
            <w:tcW w:type="dxa" w:w="192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Accueil et navigation</w:t>
            </w:r>
          </w:p>
        </w:tc>
        <w:tc>
          <w:tcPr>
            <w:tcW w:type="dxa" w:w="170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Parcours, promesse, confidentialité et accès aux modules visibles.</w:t>
            </w:r>
          </w:p>
        </w:tc>
      </w:tr>
      <w:tr>
        <w:trPr>
          <w:cantSplit/>
        </w:trPr>
        <w:tc>
          <w:tcPr>
            <w:tcW w:type="dxa" w:w="192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Diagnostic 24 questions</w:t>
            </w:r>
          </w:p>
        </w:tc>
        <w:tc>
          <w:tcPr>
            <w:tcW w:type="dxa" w:w="170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Six domaines et réponses graduées.</w:t>
            </w:r>
          </w:p>
        </w:tc>
      </w:tr>
      <w:tr>
        <w:trPr>
          <w:cantSplit/>
        </w:trPr>
        <w:tc>
          <w:tcPr>
            <w:tcW w:type="dxa" w:w="192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Calcul du score</w:t>
            </w:r>
          </w:p>
        </w:tc>
        <w:tc>
          <w:tcPr>
            <w:tcW w:type="dxa" w:w="170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Score global et scores par domaine visibles.</w:t>
            </w:r>
          </w:p>
        </w:tc>
      </w:tr>
      <w:tr>
        <w:trPr>
          <w:cantSplit/>
        </w:trPr>
        <w:tc>
          <w:tcPr>
            <w:tcW w:type="dxa" w:w="192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Plan d’actions</w:t>
            </w:r>
          </w:p>
        </w:tc>
        <w:tc>
          <w:tcPr>
            <w:tcW w:type="dxa" w:w="170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Priorités immédiates et actions sous sept jours.</w:t>
            </w:r>
          </w:p>
        </w:tc>
      </w:tr>
      <w:tr>
        <w:trPr>
          <w:cantSplit/>
        </w:trPr>
        <w:tc>
          <w:tcPr>
            <w:tcW w:type="dxa" w:w="192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Checklist</w:t>
            </w:r>
          </w:p>
        </w:tc>
        <w:tc>
          <w:tcPr>
            <w:tcW w:type="dxa" w:w="170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Actions, progression et ajouts personnels.</w:t>
            </w:r>
          </w:p>
        </w:tc>
      </w:tr>
      <w:tr>
        <w:trPr>
          <w:cantSplit/>
        </w:trPr>
        <w:tc>
          <w:tcPr>
            <w:tcW w:type="dxa" w:w="192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Kit d’urgence</w:t>
            </w:r>
          </w:p>
        </w:tc>
        <w:tc>
          <w:tcPr>
            <w:tcW w:type="dxa" w:w="170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Personnalisation du foyer et catégories de besoins.</w:t>
            </w:r>
          </w:p>
        </w:tc>
      </w:tr>
      <w:tr>
        <w:trPr>
          <w:cantSplit/>
        </w:trPr>
        <w:tc>
          <w:tcPr>
            <w:tcW w:type="dxa" w:w="192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Ressources et sources</w:t>
            </w:r>
          </w:p>
        </w:tc>
        <w:tc>
          <w:tcPr>
            <w:tcW w:type="dxa" w:w="170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Disponible</w:t>
            </w:r>
          </w:p>
        </w:tc>
        <w:tc>
          <w:tcPr>
            <w:tcW w:type="dxa" w:w="153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Démontré</w:t>
            </w:r>
          </w:p>
        </w:tc>
        <w:tc>
          <w:tcPr>
            <w:tcW w:type="dxa" w:w="4932"/>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Fiches et liens vers des références.</w:t>
            </w:r>
          </w:p>
        </w:tc>
      </w:tr>
      <w:tr>
        <w:trPr>
          <w:cantSplit/>
        </w:trPr>
        <w:tc>
          <w:tcPr>
            <w:tcW w:type="dxa" w:w="192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Attestation / impression</w:t>
            </w:r>
          </w:p>
        </w:tc>
        <w:tc>
          <w:tcPr>
            <w:tcW w:type="dxa" w:w="170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Visible dans l’interface</w:t>
            </w:r>
          </w:p>
        </w:tc>
        <w:tc>
          <w:tcPr>
            <w:tcW w:type="dxa" w:w="153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P1 — Partiel</w:t>
            </w:r>
          </w:p>
        </w:tc>
        <w:tc>
          <w:tcPr>
            <w:tcW w:type="dxa" w:w="4932"/>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Recette finale et intitulés à harmoniser.</w:t>
            </w:r>
          </w:p>
        </w:tc>
      </w:tr>
      <w:tr>
        <w:trPr>
          <w:cantSplit/>
        </w:trPr>
        <w:tc>
          <w:tcPr>
            <w:tcW w:type="dxa" w:w="192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Validation éditoriale</w:t>
            </w:r>
          </w:p>
        </w:tc>
        <w:tc>
          <w:tcPr>
            <w:tcW w:type="dxa" w:w="170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À finaliser</w:t>
            </w:r>
          </w:p>
        </w:tc>
        <w:tc>
          <w:tcPr>
            <w:tcW w:type="dxa" w:w="1531"/>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P2 — Documenté</w:t>
            </w:r>
          </w:p>
        </w:tc>
        <w:tc>
          <w:tcPr>
            <w:tcW w:type="dxa" w:w="4932"/>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Relecture des contenus et quantités.</w:t>
            </w:r>
          </w:p>
        </w:tc>
      </w:tr>
      <w:tr>
        <w:trPr>
          <w:cantSplit/>
        </w:trPr>
        <w:tc>
          <w:tcPr>
            <w:tcW w:type="dxa" w:w="192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Mesure d’impact</w:t>
            </w:r>
          </w:p>
        </w:tc>
        <w:tc>
          <w:tcPr>
            <w:tcW w:type="dxa" w:w="170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À finaliser</w:t>
            </w:r>
          </w:p>
        </w:tc>
        <w:tc>
          <w:tcPr>
            <w:tcW w:type="dxa" w:w="1531"/>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P2 — Documenté</w:t>
            </w:r>
          </w:p>
        </w:tc>
        <w:tc>
          <w:tcPr>
            <w:tcW w:type="dxa" w:w="4932"/>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5"/>
              </w:rPr>
              <w:t>Instrumentation des indicateurs anonymes.</w:t>
            </w:r>
          </w:p>
        </w:tc>
      </w:tr>
    </w:tbl>
    <w:p>
      <w:pPr>
        <w:keepNext/>
        <w:spacing w:before="140" w:after="80"/>
        <w:pBdr>
          <w:bottom w:val="single" w:sz="8" w:space="2" w:color="173C66"/>
        </w:pBdr>
      </w:pPr>
      <w:r>
        <w:rPr>
          <w:rFonts w:ascii="Arial" w:hAnsi="Arial"/>
          <w:b/>
          <w:color w:val="173C66"/>
          <w:sz w:val="25"/>
        </w:rPr>
        <w:t>3.2 Conclusion de la revue documentaire</w:t>
      </w:r>
    </w:p>
    <w:p>
      <w:pPr>
        <w:spacing w:after="80"/>
      </w:pPr>
      <w:r>
        <w:t>Les pièces existantes démontrent un socle fonctionnel avancé. Elles ne suffisent toutefois pas à prouver la cohérence du moteur de personnalisation sur des situations variées. La priorité de la recette est donc de comparer les résultats produits pour plusieurs profils contrastés et de vérifier la stabilité du calcul lors de modifications ciblées des réponses.</w:t>
      </w:r>
    </w:p>
    <w:tbl>
      <w:tblPr>
        <w:tblW w:type="auto" w:w="0"/>
        <w:jc w:val="center"/>
        <w:tblLayout w:type="fixed"/>
        <w:tblLook w:firstColumn="1" w:firstRow="1" w:lastColumn="0" w:lastRow="0" w:noHBand="0" w:noVBand="1" w:val="04A0"/>
      </w:tblPr>
      <w:tblGrid>
        <w:gridCol w:w="198"/>
        <w:gridCol w:w="9893"/>
      </w:tblGrid>
      <w:tr>
        <w:trPr>
          <w:cantSplit/>
        </w:trPr>
        <w:tc>
          <w:tcPr>
            <w:tcW w:type="dxa" w:w="5074"/>
            <w:shd w:fill="F39C34"/>
            <w:tcMar>
              <w:top w:w="100" w:type="dxa"/>
              <w:start w:w="0" w:type="dxa"/>
              <w:bottom w:w="100" w:type="dxa"/>
              <w:end w:w="0" w:type="dxa"/>
            </w:tcMar>
          </w:tcPr>
          <w:p/>
        </w:tc>
        <w:tc>
          <w:tcPr>
            <w:tcW w:type="dxa" w:w="5074"/>
            <w:shd w:fill="FFF3E5"/>
            <w:tcMar>
              <w:top w:w="110" w:type="dxa"/>
              <w:start w:w="150" w:type="dxa"/>
              <w:bottom w:w="110" w:type="dxa"/>
              <w:end w:w="150" w:type="dxa"/>
            </w:tcMar>
          </w:tcPr>
          <w:p>
            <w:pPr>
              <w:spacing w:after="40"/>
            </w:pPr>
            <w:r/>
            <w:r>
              <w:rPr>
                <w:rFonts w:ascii="Arial" w:hAnsi="Arial"/>
                <w:b/>
                <w:color w:val="173C66"/>
                <w:sz w:val="20"/>
              </w:rPr>
              <w:t>Point de contrôle majeur</w:t>
            </w:r>
          </w:p>
          <w:p>
            <w:pPr>
              <w:spacing w:after="0"/>
            </w:pPr>
            <w:r>
              <w:rPr>
                <w:rFonts w:ascii="Arial" w:hAnsi="Arial"/>
                <w:color w:val="1E2A3A"/>
                <w:sz w:val="17"/>
              </w:rPr>
              <w:t>Le test doit porter autant sur les écarts entre profils que sur le résultat de chaque profil. Deux foyers très différents ne doivent pas recevoir exactement les mêmes priorités lorsque leurs vulnérabilités diffèrent.</w:t>
            </w:r>
          </w:p>
        </w:tc>
      </w:tr>
    </w:tbl>
    <w:p>
      <w:pPr>
        <w:keepNext/>
        <w:spacing w:before="140" w:after="80"/>
        <w:pBdr>
          <w:bottom w:val="single" w:sz="8" w:space="2" w:color="173C66"/>
        </w:pBdr>
      </w:pPr>
      <w:r>
        <w:rPr>
          <w:rFonts w:ascii="Arial" w:hAnsi="Arial"/>
          <w:b/>
          <w:color w:val="173C66"/>
          <w:sz w:val="25"/>
        </w:rPr>
        <w:t>3.3 Documents de référence</w:t>
      </w:r>
    </w:p>
    <w:p>
      <w:pPr>
        <w:pStyle w:val="ListBullet"/>
        <w:spacing w:after="40"/>
        <w:ind w:left="255" w:hanging="102"/>
      </w:pPr>
      <w:r>
        <w:rPr>
          <w:rFonts w:ascii="Arial" w:hAnsi="Arial"/>
          <w:color w:val="1E2A3A"/>
          <w:sz w:val="18"/>
        </w:rPr>
        <w:t>Dossier principal Mon Plan Résilience 976 — JNR 2026, notamment les pages relatives au diagnostic, au déploiement et à la maîtrise des risques.</w:t>
      </w:r>
    </w:p>
    <w:p>
      <w:pPr>
        <w:pStyle w:val="ListBullet"/>
        <w:spacing w:after="40"/>
        <w:ind w:left="255" w:hanging="102"/>
      </w:pPr>
      <w:r>
        <w:rPr>
          <w:rFonts w:ascii="Arial" w:hAnsi="Arial"/>
          <w:color w:val="1E2A3A"/>
          <w:sz w:val="18"/>
        </w:rPr>
        <w:t>Annexe 02 — Démonstrateur fonctionnel et captures du prototype.</w:t>
      </w:r>
    </w:p>
    <w:p>
      <w:pPr>
        <w:pStyle w:val="ListBullet"/>
        <w:spacing w:after="40"/>
        <w:ind w:left="255" w:hanging="102"/>
      </w:pPr>
      <w:r>
        <w:rPr>
          <w:rFonts w:ascii="Arial" w:hAnsi="Arial"/>
          <w:color w:val="1E2A3A"/>
          <w:sz w:val="18"/>
        </w:rPr>
        <w:t>Annexe 03 — Conformité, gouvernance des contenus, accessibilité et mesure d’impact.</w:t>
      </w:r>
    </w:p>
    <w:p>
      <w:pPr>
        <w:pStyle w:val="ListBullet"/>
        <w:spacing w:after="40"/>
        <w:ind w:left="255" w:hanging="102"/>
      </w:pPr>
      <w:r>
        <w:rPr>
          <w:rFonts w:ascii="Arial" w:hAnsi="Arial"/>
          <w:color w:val="1E2A3A"/>
          <w:sz w:val="18"/>
        </w:rPr>
        <w:t>Registre des sources et de validation éditoriale — Annexe 04.</w:t>
      </w:r>
    </w:p>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4</w:t>
            </w:r>
          </w:p>
        </w:tc>
        <w:tc>
          <w:tcPr>
            <w:tcW w:type="dxa" w:w="5074"/>
            <w:shd w:fill="173C66"/>
            <w:tcMar>
              <w:top w:w="130" w:type="dxa"/>
              <w:start w:w="110" w:type="dxa"/>
              <w:bottom w:w="130" w:type="dxa"/>
              <w:end w:w="110" w:type="dxa"/>
            </w:tcMar>
          </w:tcPr>
          <w:p>
            <w:pPr>
              <w:spacing w:after="0"/>
            </w:pPr>
            <w:r/>
            <w:r>
              <w:rPr>
                <w:rFonts w:ascii="Arial" w:hAnsi="Arial"/>
                <w:b/>
                <w:color w:val="FFFFFF"/>
                <w:sz w:val="34"/>
              </w:rPr>
              <w:t>Matrice des profils de test</w:t>
            </w:r>
          </w:p>
          <w:p>
            <w:pPr>
              <w:spacing w:before="40" w:after="0"/>
            </w:pPr>
            <w:r>
              <w:rPr>
                <w:rFonts w:ascii="Arial" w:hAnsi="Arial"/>
                <w:color w:val="DDE7F0"/>
                <w:sz w:val="17"/>
              </w:rPr>
              <w:t>Huit scénarios pour couvrir les situations courantes, vulnérables et limites</w:t>
            </w:r>
          </w:p>
        </w:tc>
      </w:tr>
    </w:tbl>
    <w:p>
      <w:pPr>
        <w:spacing w:after="0"/>
      </w:pPr>
    </w:p>
    <w:tbl>
      <w:tblPr>
        <w:tblW w:type="auto" w:w="0"/>
        <w:jc w:val="center"/>
        <w:tblLayout w:type="fixed"/>
        <w:tblLook w:firstColumn="1" w:firstRow="1" w:lastColumn="0" w:lastRow="0" w:noHBand="0" w:noVBand="1" w:val="04A0"/>
      </w:tblPr>
      <w:tblGrid>
        <w:gridCol w:w="567"/>
        <w:gridCol w:w="1984"/>
        <w:gridCol w:w="1417"/>
        <w:gridCol w:w="2835"/>
        <w:gridCol w:w="3288"/>
      </w:tblGrid>
      <w:tr>
        <w:trPr>
          <w:tblHeader w:val="true"/>
          <w:cantSplit/>
        </w:trPr>
        <w:tc>
          <w:tcPr>
            <w:tcW w:type="dxa" w:w="2030"/>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ID</w:t>
            </w:r>
          </w:p>
        </w:tc>
        <w:tc>
          <w:tcPr>
            <w:tcW w:type="dxa" w:w="2030"/>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Profil</w:t>
            </w:r>
          </w:p>
        </w:tc>
        <w:tc>
          <w:tcPr>
            <w:tcW w:type="dxa" w:w="2030"/>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Composition</w:t>
            </w:r>
          </w:p>
        </w:tc>
        <w:tc>
          <w:tcPr>
            <w:tcW w:type="dxa" w:w="2030"/>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Variables dominantes</w:t>
            </w:r>
          </w:p>
        </w:tc>
        <w:tc>
          <w:tcPr>
            <w:tcW w:type="dxa" w:w="2030"/>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Résultat attendu</w:t>
            </w:r>
          </w:p>
        </w:tc>
      </w:tr>
      <w:tr>
        <w:trPr>
          <w:cantSplit/>
        </w:trPr>
        <w:tc>
          <w:tcPr>
            <w:tcW w:type="dxa" w:w="5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T01</w:t>
            </w:r>
          </w:p>
        </w:tc>
        <w:tc>
          <w:tcPr>
            <w:tcW w:type="dxa" w:w="198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Foyer bien préparé</w:t>
            </w:r>
          </w:p>
        </w:tc>
        <w:tc>
          <w:tcPr>
            <w:tcW w:type="dxa" w:w="141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1 adulte</w:t>
            </w:r>
          </w:p>
        </w:tc>
        <w:tc>
          <w:tcPr>
            <w:tcW w:type="dxa" w:w="283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Réponses favorables dans tous les domaines</w:t>
            </w:r>
          </w:p>
        </w:tc>
        <w:tc>
          <w:tcPr>
            <w:tcW w:type="dxa" w:w="328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Score élevé ; peu de priorités ; rappels de vérification.</w:t>
            </w:r>
          </w:p>
        </w:tc>
      </w:tr>
      <w:tr>
        <w:trPr>
          <w:cantSplit/>
        </w:trPr>
        <w:tc>
          <w:tcPr>
            <w:tcW w:type="dxa" w:w="56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T02</w:t>
            </w:r>
          </w:p>
        </w:tc>
        <w:tc>
          <w:tcPr>
            <w:tcW w:type="dxa" w:w="198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Famille avec réserves insuffisantes</w:t>
            </w:r>
          </w:p>
        </w:tc>
        <w:tc>
          <w:tcPr>
            <w:tcW w:type="dxa" w:w="141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2 adultes, 2 enfants</w:t>
            </w:r>
          </w:p>
        </w:tc>
        <w:tc>
          <w:tcPr>
            <w:tcW w:type="dxa" w:w="283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Peu d’eau et d’aliments, préparation partielle</w:t>
            </w:r>
          </w:p>
        </w:tc>
        <w:tc>
          <w:tcPr>
            <w:tcW w:type="dxa" w:w="328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Eau et alimentation parmi les premières priorités.</w:t>
            </w:r>
          </w:p>
        </w:tc>
      </w:tr>
      <w:tr>
        <w:trPr>
          <w:cantSplit/>
        </w:trPr>
        <w:tc>
          <w:tcPr>
            <w:tcW w:type="dxa" w:w="5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T03</w:t>
            </w:r>
          </w:p>
        </w:tc>
        <w:tc>
          <w:tcPr>
            <w:tcW w:type="dxa" w:w="198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Foyer avec nourrisson</w:t>
            </w:r>
          </w:p>
        </w:tc>
        <w:tc>
          <w:tcPr>
            <w:tcW w:type="dxa" w:w="141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2 adultes, 1 nourrisson</w:t>
            </w:r>
          </w:p>
        </w:tc>
        <w:tc>
          <w:tcPr>
            <w:tcW w:type="dxa" w:w="283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Besoins particuliers, documents non protégés</w:t>
            </w:r>
          </w:p>
        </w:tc>
        <w:tc>
          <w:tcPr>
            <w:tcW w:type="dxa" w:w="328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Kit adapté ; priorité aux besoins du nourrisson et aux documents.</w:t>
            </w:r>
          </w:p>
        </w:tc>
      </w:tr>
      <w:tr>
        <w:trPr>
          <w:cantSplit/>
        </w:trPr>
        <w:tc>
          <w:tcPr>
            <w:tcW w:type="dxa" w:w="56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T04</w:t>
            </w:r>
          </w:p>
        </w:tc>
        <w:tc>
          <w:tcPr>
            <w:tcW w:type="dxa" w:w="198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Personne âgée isolée</w:t>
            </w:r>
          </w:p>
        </w:tc>
        <w:tc>
          <w:tcPr>
            <w:tcW w:type="dxa" w:w="141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1 personne âgée</w:t>
            </w:r>
          </w:p>
        </w:tc>
        <w:tc>
          <w:tcPr>
            <w:tcW w:type="dxa" w:w="283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Mobilité réduite, communication fragile</w:t>
            </w:r>
          </w:p>
        </w:tc>
        <w:tc>
          <w:tcPr>
            <w:tcW w:type="dxa" w:w="328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Organisation d’aide, contact et traitement priorisés sans conseil médical.</w:t>
            </w:r>
          </w:p>
        </w:tc>
      </w:tr>
      <w:tr>
        <w:trPr>
          <w:cantSplit/>
        </w:trPr>
        <w:tc>
          <w:tcPr>
            <w:tcW w:type="dxa" w:w="5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T05</w:t>
            </w:r>
          </w:p>
        </w:tc>
        <w:tc>
          <w:tcPr>
            <w:tcW w:type="dxa" w:w="198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Foyer avec animal</w:t>
            </w:r>
          </w:p>
        </w:tc>
        <w:tc>
          <w:tcPr>
            <w:tcW w:type="dxa" w:w="141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1 adulte, 1 animal</w:t>
            </w:r>
          </w:p>
        </w:tc>
        <w:tc>
          <w:tcPr>
            <w:tcW w:type="dxa" w:w="283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Kit humain correct, besoins animaux absents</w:t>
            </w:r>
          </w:p>
        </w:tc>
        <w:tc>
          <w:tcPr>
            <w:tcW w:type="dxa" w:w="328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Ajout d’éléments dédiés à l’animal sans dégrader les autres priorités.</w:t>
            </w:r>
          </w:p>
        </w:tc>
      </w:tr>
      <w:tr>
        <w:trPr>
          <w:cantSplit/>
        </w:trPr>
        <w:tc>
          <w:tcPr>
            <w:tcW w:type="dxa" w:w="56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T06</w:t>
            </w:r>
          </w:p>
        </w:tc>
        <w:tc>
          <w:tcPr>
            <w:tcW w:type="dxa" w:w="198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Logement exposé et extérieur non sécurisé</w:t>
            </w:r>
          </w:p>
        </w:tc>
        <w:tc>
          <w:tcPr>
            <w:tcW w:type="dxa" w:w="141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Famille</w:t>
            </w:r>
          </w:p>
        </w:tc>
        <w:tc>
          <w:tcPr>
            <w:tcW w:type="dxa" w:w="283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Ouvertures/objets extérieurs non sécurisés</w:t>
            </w:r>
          </w:p>
        </w:tc>
        <w:tc>
          <w:tcPr>
            <w:tcW w:type="dxa" w:w="328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Sécurisation du logement en priorité immédiate.</w:t>
            </w:r>
          </w:p>
        </w:tc>
      </w:tr>
      <w:tr>
        <w:trPr>
          <w:cantSplit/>
        </w:trPr>
        <w:tc>
          <w:tcPr>
            <w:tcW w:type="dxa" w:w="56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T07</w:t>
            </w:r>
          </w:p>
        </w:tc>
        <w:tc>
          <w:tcPr>
            <w:tcW w:type="dxa" w:w="198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Réponses « Je ne sais pas »</w:t>
            </w:r>
          </w:p>
        </w:tc>
        <w:tc>
          <w:tcPr>
            <w:tcW w:type="dxa" w:w="141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1 adulte</w:t>
            </w:r>
          </w:p>
        </w:tc>
        <w:tc>
          <w:tcPr>
            <w:tcW w:type="dxa" w:w="283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Incertitude sur plusieurs domaines</w:t>
            </w:r>
          </w:p>
        </w:tc>
        <w:tc>
          <w:tcPr>
            <w:tcW w:type="dxa" w:w="328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Score prudent ; actions de vérification ; aucune fausse assurance.</w:t>
            </w:r>
          </w:p>
        </w:tc>
      </w:tr>
      <w:tr>
        <w:trPr>
          <w:cantSplit/>
        </w:trPr>
        <w:tc>
          <w:tcPr>
            <w:tcW w:type="dxa" w:w="56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T08</w:t>
            </w:r>
          </w:p>
        </w:tc>
        <w:tc>
          <w:tcPr>
            <w:tcW w:type="dxa" w:w="198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Profil minimal / cas limite</w:t>
            </w:r>
          </w:p>
        </w:tc>
        <w:tc>
          <w:tcPr>
            <w:tcW w:type="dxa" w:w="141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Composition minimale</w:t>
            </w:r>
          </w:p>
        </w:tc>
        <w:tc>
          <w:tcPr>
            <w:tcW w:type="dxa" w:w="283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Réponses les plus défavorables</w:t>
            </w:r>
          </w:p>
        </w:tc>
        <w:tc>
          <w:tcPr>
            <w:tcW w:type="dxa" w:w="328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Score bas mais valide ; recommandations hiérarchisées et non redondantes.</w:t>
            </w:r>
          </w:p>
        </w:tc>
      </w:tr>
    </w:tbl>
    <w:p>
      <w:pPr>
        <w:keepNext/>
        <w:spacing w:before="140" w:after="80"/>
        <w:pBdr>
          <w:bottom w:val="single" w:sz="8" w:space="2" w:color="173C66"/>
        </w:pBdr>
      </w:pPr>
      <w:r>
        <w:rPr>
          <w:rFonts w:ascii="Arial" w:hAnsi="Arial"/>
          <w:b/>
          <w:color w:val="173C66"/>
          <w:sz w:val="25"/>
        </w:rPr>
        <w:t>Règles de comparaison entre profils</w:t>
      </w:r>
    </w:p>
    <w:p>
      <w:pPr>
        <w:pStyle w:val="ListBullet"/>
        <w:spacing w:after="40"/>
        <w:ind w:left="255" w:hanging="102"/>
      </w:pPr>
      <w:r>
        <w:rPr>
          <w:rFonts w:ascii="Arial" w:hAnsi="Arial"/>
          <w:color w:val="1E2A3A"/>
          <w:sz w:val="18"/>
        </w:rPr>
        <w:t>T01 doit obtenir le score le plus élevé de la série et T08 le score le plus faible, sauf justification documentée du barème.</w:t>
      </w:r>
    </w:p>
    <w:p>
      <w:pPr>
        <w:pStyle w:val="ListBullet"/>
        <w:spacing w:after="40"/>
        <w:ind w:left="255" w:hanging="102"/>
      </w:pPr>
      <w:r>
        <w:rPr>
          <w:rFonts w:ascii="Arial" w:hAnsi="Arial"/>
          <w:color w:val="1E2A3A"/>
          <w:sz w:val="18"/>
        </w:rPr>
        <w:t>T02 et T03 doivent se distinguer par les priorités liées respectivement aux réserves et aux besoins du nourrisson.</w:t>
      </w:r>
    </w:p>
    <w:p>
      <w:pPr>
        <w:pStyle w:val="ListBullet"/>
        <w:spacing w:after="40"/>
        <w:ind w:left="255" w:hanging="102"/>
      </w:pPr>
      <w:r>
        <w:rPr>
          <w:rFonts w:ascii="Arial" w:hAnsi="Arial"/>
          <w:color w:val="1E2A3A"/>
          <w:sz w:val="18"/>
        </w:rPr>
        <w:t>T04 ne doit jamais recevoir de recommandation médicale personnalisée ou de modification de traitement.</w:t>
      </w:r>
    </w:p>
    <w:p>
      <w:pPr>
        <w:pStyle w:val="ListBullet"/>
        <w:spacing w:after="40"/>
        <w:ind w:left="255" w:hanging="102"/>
      </w:pPr>
      <w:r>
        <w:rPr>
          <w:rFonts w:ascii="Arial" w:hAnsi="Arial"/>
          <w:color w:val="1E2A3A"/>
          <w:sz w:val="18"/>
        </w:rPr>
        <w:t>T07 doit traiter l’incertitude comme un besoin de vérification, et non comme une réponse favorable.</w:t>
      </w:r>
    </w:p>
    <w:p>
      <w:pPr>
        <w:pStyle w:val="ListBullet"/>
        <w:spacing w:after="40"/>
        <w:ind w:left="255" w:hanging="102"/>
      </w:pPr>
      <w:r>
        <w:rPr>
          <w:rFonts w:ascii="Arial" w:hAnsi="Arial"/>
          <w:color w:val="1E2A3A"/>
          <w:sz w:val="18"/>
        </w:rPr>
        <w:t>T05 doit intégrer les animaux dans le kit sans faire disparaître les besoins humains essentiels.</w:t>
      </w:r>
    </w:p>
    <w:tbl>
      <w:tblPr>
        <w:tblW w:type="auto" w:w="0"/>
        <w:jc w:val="center"/>
        <w:tblLayout w:type="fixed"/>
        <w:tblLook w:firstColumn="1" w:firstRow="1" w:lastColumn="0" w:lastRow="0" w:noHBand="0" w:noVBand="1" w:val="04A0"/>
      </w:tblPr>
      <w:tblGrid>
        <w:gridCol w:w="198"/>
        <w:gridCol w:w="9893"/>
      </w:tblGrid>
      <w:tr>
        <w:trPr>
          <w:cantSplit/>
        </w:trPr>
        <w:tc>
          <w:tcPr>
            <w:tcW w:type="dxa" w:w="5074"/>
            <w:shd w:fill="159B89"/>
            <w:tcMar>
              <w:top w:w="100" w:type="dxa"/>
              <w:start w:w="0" w:type="dxa"/>
              <w:bottom w:w="100" w:type="dxa"/>
              <w:end w:w="0" w:type="dxa"/>
            </w:tcMar>
          </w:tcPr>
          <w:p/>
        </w:tc>
        <w:tc>
          <w:tcPr>
            <w:tcW w:type="dxa" w:w="5074"/>
            <w:shd w:fill="EAF2F7"/>
            <w:tcMar>
              <w:top w:w="110" w:type="dxa"/>
              <w:start w:w="150" w:type="dxa"/>
              <w:bottom w:w="110" w:type="dxa"/>
              <w:end w:w="150" w:type="dxa"/>
            </w:tcMar>
          </w:tcPr>
          <w:p>
            <w:pPr>
              <w:spacing w:after="40"/>
            </w:pPr>
            <w:r/>
            <w:r>
              <w:rPr>
                <w:rFonts w:ascii="Arial" w:hAnsi="Arial"/>
                <w:b/>
                <w:color w:val="173C66"/>
                <w:sz w:val="20"/>
              </w:rPr>
              <w:t>Traçabilité</w:t>
            </w:r>
          </w:p>
          <w:p>
            <w:pPr>
              <w:spacing w:after="0"/>
            </w:pPr>
            <w:r>
              <w:rPr>
                <w:rFonts w:ascii="Arial" w:hAnsi="Arial"/>
                <w:color w:val="1E2A3A"/>
                <w:sz w:val="17"/>
              </w:rPr>
              <w:t>Pour chaque scénario, enregistrer la version de l’application, la date, le navigateur, les réponses utilisées, le score, les priorités, la checklist, le kit et le nom du fichier de preuve.</w:t>
            </w:r>
          </w:p>
        </w:tc>
      </w:tr>
    </w:tbl>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5</w:t>
            </w:r>
          </w:p>
        </w:tc>
        <w:tc>
          <w:tcPr>
            <w:tcW w:type="dxa" w:w="5074"/>
            <w:shd w:fill="173C66"/>
            <w:tcMar>
              <w:top w:w="130" w:type="dxa"/>
              <w:start w:w="110" w:type="dxa"/>
              <w:bottom w:w="130" w:type="dxa"/>
              <w:end w:w="110" w:type="dxa"/>
            </w:tcMar>
          </w:tcPr>
          <w:p>
            <w:pPr>
              <w:spacing w:after="0"/>
            </w:pPr>
            <w:r/>
            <w:r>
              <w:rPr>
                <w:rFonts w:ascii="Arial" w:hAnsi="Arial"/>
                <w:b/>
                <w:color w:val="FFFFFF"/>
                <w:sz w:val="34"/>
              </w:rPr>
              <w:t>Scénarios détaillés — profils T01 à T04</w:t>
            </w:r>
          </w:p>
          <w:p>
            <w:pPr>
              <w:spacing w:before="40" w:after="0"/>
            </w:pPr>
            <w:r>
              <w:rPr>
                <w:rFonts w:ascii="Arial" w:hAnsi="Arial"/>
                <w:color w:val="DDE7F0"/>
                <w:sz w:val="17"/>
              </w:rPr>
              <w:t>Résultats attendus et preuves à conserver</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T01 — Foyer bien préparé</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Un adulte autonome, logement sécurisé, réserves suffisantes, moyens d’information disponibles et documents protégés.</w:t>
            </w:r>
          </w:p>
          <w:p>
            <w:pPr>
              <w:spacing w:after="30"/>
            </w:pPr>
            <w:r>
              <w:rPr>
                <w:rFonts w:ascii="Arial" w:hAnsi="Arial"/>
                <w:b/>
                <w:color w:val="0B7165"/>
                <w:sz w:val="17"/>
              </w:rPr>
              <w:t xml:space="preserve">Entrées principales : </w:t>
            </w:r>
            <w:r>
              <w:rPr>
                <w:rFonts w:ascii="Arial" w:hAnsi="Arial"/>
                <w:color w:val="1E2A3A"/>
                <w:sz w:val="17"/>
              </w:rPr>
              <w:t>Réponses favorables ou « Oui » sur la quasi-totalité des questions ; aucun besoin particulier déclaré.</w:t>
            </w:r>
          </w:p>
          <w:p>
            <w:pPr>
              <w:spacing w:after="30"/>
            </w:pPr>
            <w:r>
              <w:rPr>
                <w:rFonts w:ascii="Arial" w:hAnsi="Arial"/>
                <w:b/>
                <w:color w:val="0B7165"/>
                <w:sz w:val="17"/>
              </w:rPr>
              <w:t xml:space="preserve">Résultat attendu : </w:t>
            </w:r>
            <w:r>
              <w:rPr>
                <w:rFonts w:ascii="Arial" w:hAnsi="Arial"/>
                <w:color w:val="1E2A3A"/>
                <w:sz w:val="17"/>
              </w:rPr>
              <w:t>Score élevé, absence de message alarmiste, priorités limitées à l’entretien de la préparation ou à des vérifications périodiques. Aucun doublon entre les priorités.</w:t>
            </w:r>
          </w:p>
          <w:p>
            <w:pPr>
              <w:spacing w:after="30"/>
            </w:pPr>
            <w:r>
              <w:rPr>
                <w:rFonts w:ascii="Arial" w:hAnsi="Arial"/>
                <w:b/>
                <w:color w:val="0B7165"/>
                <w:sz w:val="17"/>
              </w:rPr>
              <w:t xml:space="preserve">Preuve à conserver : </w:t>
            </w:r>
            <w:r>
              <w:rPr>
                <w:rFonts w:ascii="Arial" w:hAnsi="Arial"/>
                <w:color w:val="1E2A3A"/>
                <w:sz w:val="17"/>
              </w:rPr>
              <w:t>Capture du score global et des scores par domaine ; PDF du plan ; checklist et kit.</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T02 — Famille avec réserves insuffisantes</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Deux adultes et deux enfants, logement globalement sécurisé, mais eau et alimentation insuffisantes.</w:t>
            </w:r>
          </w:p>
          <w:p>
            <w:pPr>
              <w:spacing w:after="30"/>
            </w:pPr>
            <w:r>
              <w:rPr>
                <w:rFonts w:ascii="Arial" w:hAnsi="Arial"/>
                <w:b/>
                <w:color w:val="0B7165"/>
                <w:sz w:val="17"/>
              </w:rPr>
              <w:t xml:space="preserve">Entrées principales : </w:t>
            </w:r>
            <w:r>
              <w:rPr>
                <w:rFonts w:ascii="Arial" w:hAnsi="Arial"/>
                <w:color w:val="1E2A3A"/>
                <w:sz w:val="17"/>
              </w:rPr>
              <w:t>Réponses défavorables sur les réserves et l’autonomie ; réponses favorables sur l’information et les documents.</w:t>
            </w:r>
          </w:p>
          <w:p>
            <w:pPr>
              <w:spacing w:after="30"/>
            </w:pPr>
            <w:r>
              <w:rPr>
                <w:rFonts w:ascii="Arial" w:hAnsi="Arial"/>
                <w:b/>
                <w:color w:val="0B7165"/>
                <w:sz w:val="17"/>
              </w:rPr>
              <w:t xml:space="preserve">Résultat attendu : </w:t>
            </w:r>
            <w:r>
              <w:rPr>
                <w:rFonts w:ascii="Arial" w:hAnsi="Arial"/>
                <w:color w:val="1E2A3A"/>
                <w:sz w:val="17"/>
              </w:rPr>
              <w:t>Les réserves d’eau et d’alimentation apparaissent dans les priorités immédiates. Les domaines déjà maîtrisés ne doivent pas être présentés comme urgents.</w:t>
            </w:r>
          </w:p>
          <w:p>
            <w:pPr>
              <w:spacing w:after="30"/>
            </w:pPr>
            <w:r>
              <w:rPr>
                <w:rFonts w:ascii="Arial" w:hAnsi="Arial"/>
                <w:b/>
                <w:color w:val="0B7165"/>
                <w:sz w:val="17"/>
              </w:rPr>
              <w:t xml:space="preserve">Preuve à conserver : </w:t>
            </w:r>
            <w:r>
              <w:rPr>
                <w:rFonts w:ascii="Arial" w:hAnsi="Arial"/>
                <w:color w:val="1E2A3A"/>
                <w:sz w:val="17"/>
              </w:rPr>
              <w:t>Captures des réponses clés et des priorités ; liste du kit ; comparaison avec T01.</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T03 — Foyer avec nourrisson</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Deux adultes et un nourrisson, réserve d’eau partielle, documents uniquement sur papier et besoins particuliers déclarés.</w:t>
            </w:r>
          </w:p>
          <w:p>
            <w:pPr>
              <w:spacing w:after="30"/>
            </w:pPr>
            <w:r>
              <w:rPr>
                <w:rFonts w:ascii="Arial" w:hAnsi="Arial"/>
                <w:b/>
                <w:color w:val="0B7165"/>
                <w:sz w:val="17"/>
              </w:rPr>
              <w:t xml:space="preserve">Entrées principales : </w:t>
            </w:r>
            <w:r>
              <w:rPr>
                <w:rFonts w:ascii="Arial" w:hAnsi="Arial"/>
                <w:color w:val="1E2A3A"/>
                <w:sz w:val="17"/>
              </w:rPr>
              <w:t>Composition du foyer renseignée ; absence de copies protégées ; autonomie réduite.</w:t>
            </w:r>
          </w:p>
          <w:p>
            <w:pPr>
              <w:spacing w:after="30"/>
            </w:pPr>
            <w:r>
              <w:rPr>
                <w:rFonts w:ascii="Arial" w:hAnsi="Arial"/>
                <w:b/>
                <w:color w:val="0B7165"/>
                <w:sz w:val="17"/>
              </w:rPr>
              <w:t xml:space="preserve">Résultat attendu : </w:t>
            </w:r>
            <w:r>
              <w:rPr>
                <w:rFonts w:ascii="Arial" w:hAnsi="Arial"/>
                <w:color w:val="1E2A3A"/>
                <w:sz w:val="17"/>
              </w:rPr>
              <w:t>Le plan prend en compte les besoins du nourrisson sans demander de donnée médicale détaillée. Les documents essentiels et le kit adapté figurent parmi les priorités.</w:t>
            </w:r>
          </w:p>
          <w:p>
            <w:pPr>
              <w:spacing w:after="30"/>
            </w:pPr>
            <w:r>
              <w:rPr>
                <w:rFonts w:ascii="Arial" w:hAnsi="Arial"/>
                <w:b/>
                <w:color w:val="0B7165"/>
                <w:sz w:val="17"/>
              </w:rPr>
              <w:t xml:space="preserve">Preuve à conserver : </w:t>
            </w:r>
            <w:r>
              <w:rPr>
                <w:rFonts w:ascii="Arial" w:hAnsi="Arial"/>
                <w:color w:val="1E2A3A"/>
                <w:sz w:val="17"/>
              </w:rPr>
              <w:t>Capture du formulaire de composition ; résultat ; kit généré ; absence de donnée médicale nominative.</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T04 — Personne âgée isolée</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Une personne âgée vivant seule, mobilité réduite, sans contact de proximité clairement organisé.</w:t>
            </w:r>
          </w:p>
          <w:p>
            <w:pPr>
              <w:spacing w:after="30"/>
            </w:pPr>
            <w:r>
              <w:rPr>
                <w:rFonts w:ascii="Arial" w:hAnsi="Arial"/>
                <w:b/>
                <w:color w:val="0B7165"/>
                <w:sz w:val="17"/>
              </w:rPr>
              <w:t xml:space="preserve">Entrées principales : </w:t>
            </w:r>
            <w:r>
              <w:rPr>
                <w:rFonts w:ascii="Arial" w:hAnsi="Arial"/>
                <w:color w:val="1E2A3A"/>
                <w:sz w:val="17"/>
              </w:rPr>
              <w:t>Besoin particulier déclaré, organisation familiale faible, moyens de communication partiels.</w:t>
            </w:r>
          </w:p>
          <w:p>
            <w:pPr>
              <w:spacing w:after="30"/>
            </w:pPr>
            <w:r>
              <w:rPr>
                <w:rFonts w:ascii="Arial" w:hAnsi="Arial"/>
                <w:b/>
                <w:color w:val="0B7165"/>
                <w:sz w:val="17"/>
              </w:rPr>
              <w:t xml:space="preserve">Résultat attendu : </w:t>
            </w:r>
            <w:r>
              <w:rPr>
                <w:rFonts w:ascii="Arial" w:hAnsi="Arial"/>
                <w:color w:val="1E2A3A"/>
                <w:sz w:val="17"/>
              </w:rPr>
              <w:t>Priorités portant sur le contact, l’entraide, les moyens d’information et l’anticipation des besoins. Aucune posologie ni recommandation médicale individuelle.</w:t>
            </w:r>
          </w:p>
          <w:p>
            <w:pPr>
              <w:spacing w:after="30"/>
            </w:pPr>
            <w:r>
              <w:rPr>
                <w:rFonts w:ascii="Arial" w:hAnsi="Arial"/>
                <w:b/>
                <w:color w:val="0B7165"/>
                <w:sz w:val="17"/>
              </w:rPr>
              <w:t xml:space="preserve">Preuve à conserver : </w:t>
            </w:r>
            <w:r>
              <w:rPr>
                <w:rFonts w:ascii="Arial" w:hAnsi="Arial"/>
                <w:color w:val="1E2A3A"/>
                <w:sz w:val="17"/>
              </w:rPr>
              <w:t>Résultat et plan ; capture du message de sécurité ; vérification du périmètre des recommandations.</w:t>
            </w:r>
          </w:p>
        </w:tc>
      </w:tr>
    </w:tbl>
    <w:p>
      <w:pPr>
        <w:spacing w:after="0"/>
      </w:pPr>
    </w:p>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6</w:t>
            </w:r>
          </w:p>
        </w:tc>
        <w:tc>
          <w:tcPr>
            <w:tcW w:type="dxa" w:w="5074"/>
            <w:shd w:fill="173C66"/>
            <w:tcMar>
              <w:top w:w="130" w:type="dxa"/>
              <w:start w:w="110" w:type="dxa"/>
              <w:bottom w:w="130" w:type="dxa"/>
              <w:end w:w="110" w:type="dxa"/>
            </w:tcMar>
          </w:tcPr>
          <w:p>
            <w:pPr>
              <w:spacing w:after="0"/>
            </w:pPr>
            <w:r/>
            <w:r>
              <w:rPr>
                <w:rFonts w:ascii="Arial" w:hAnsi="Arial"/>
                <w:b/>
                <w:color w:val="FFFFFF"/>
                <w:sz w:val="34"/>
              </w:rPr>
              <w:t>Scénarios détaillés — profils T05 à T08</w:t>
            </w:r>
          </w:p>
          <w:p>
            <w:pPr>
              <w:spacing w:before="40" w:after="0"/>
            </w:pPr>
            <w:r>
              <w:rPr>
                <w:rFonts w:ascii="Arial" w:hAnsi="Arial"/>
                <w:color w:val="DDE7F0"/>
                <w:sz w:val="17"/>
              </w:rPr>
              <w:t>Cas complémentaires et limites du moteur de personnalisation</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T05 — Foyer avec animal</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Un adulte disposant d’un kit humain correct mais n’ayant rien prévu pour son animal.</w:t>
            </w:r>
          </w:p>
          <w:p>
            <w:pPr>
              <w:spacing w:after="30"/>
            </w:pPr>
            <w:r>
              <w:rPr>
                <w:rFonts w:ascii="Arial" w:hAnsi="Arial"/>
                <w:b/>
                <w:color w:val="0B7165"/>
                <w:sz w:val="17"/>
              </w:rPr>
              <w:t xml:space="preserve">Entrées principales : </w:t>
            </w:r>
            <w:r>
              <w:rPr>
                <w:rFonts w:ascii="Arial" w:hAnsi="Arial"/>
                <w:color w:val="1E2A3A"/>
                <w:sz w:val="17"/>
              </w:rPr>
              <w:t>Animal déclaré ; réponses favorables sur l’eau, la communication et les documents.</w:t>
            </w:r>
          </w:p>
          <w:p>
            <w:pPr>
              <w:spacing w:after="30"/>
            </w:pPr>
            <w:r>
              <w:rPr>
                <w:rFonts w:ascii="Arial" w:hAnsi="Arial"/>
                <w:b/>
                <w:color w:val="0B7165"/>
                <w:sz w:val="17"/>
              </w:rPr>
              <w:t xml:space="preserve">Résultat attendu : </w:t>
            </w:r>
            <w:r>
              <w:rPr>
                <w:rFonts w:ascii="Arial" w:hAnsi="Arial"/>
                <w:color w:val="1E2A3A"/>
                <w:sz w:val="17"/>
              </w:rPr>
              <w:t>Le kit inclut les besoins propres à l’animal. Les recommandations humaines déjà satisfaites ne doivent pas être répétées comme priorités urgentes.</w:t>
            </w:r>
          </w:p>
          <w:p>
            <w:pPr>
              <w:spacing w:after="30"/>
            </w:pPr>
            <w:r>
              <w:rPr>
                <w:rFonts w:ascii="Arial" w:hAnsi="Arial"/>
                <w:b/>
                <w:color w:val="0B7165"/>
                <w:sz w:val="17"/>
              </w:rPr>
              <w:t xml:space="preserve">Preuve à conserver : </w:t>
            </w:r>
            <w:r>
              <w:rPr>
                <w:rFonts w:ascii="Arial" w:hAnsi="Arial"/>
                <w:color w:val="1E2A3A"/>
                <w:sz w:val="17"/>
              </w:rPr>
              <w:t>Kit généré ; comparaison avec le même profil sans animal.</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T06 — Logement exposé et objets extérieurs non sécurisés</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Famille disposant de réserves mais n’ayant pas sécurisé les ouvertures et objets extérieurs.</w:t>
            </w:r>
          </w:p>
          <w:p>
            <w:pPr>
              <w:spacing w:after="30"/>
            </w:pPr>
            <w:r>
              <w:rPr>
                <w:rFonts w:ascii="Arial" w:hAnsi="Arial"/>
                <w:b/>
                <w:color w:val="0B7165"/>
                <w:sz w:val="17"/>
              </w:rPr>
              <w:t xml:space="preserve">Entrées principales : </w:t>
            </w:r>
            <w:r>
              <w:rPr>
                <w:rFonts w:ascii="Arial" w:hAnsi="Arial"/>
                <w:color w:val="1E2A3A"/>
                <w:sz w:val="17"/>
              </w:rPr>
              <w:t>Réponses défavorables sur la sécurisation du logement ; réponses favorables sur le kit.</w:t>
            </w:r>
          </w:p>
          <w:p>
            <w:pPr>
              <w:spacing w:after="30"/>
            </w:pPr>
            <w:r>
              <w:rPr>
                <w:rFonts w:ascii="Arial" w:hAnsi="Arial"/>
                <w:b/>
                <w:color w:val="0B7165"/>
                <w:sz w:val="17"/>
              </w:rPr>
              <w:t xml:space="preserve">Résultat attendu : </w:t>
            </w:r>
            <w:r>
              <w:rPr>
                <w:rFonts w:ascii="Arial" w:hAnsi="Arial"/>
                <w:color w:val="1E2A3A"/>
                <w:sz w:val="17"/>
              </w:rPr>
              <w:t>La sécurisation des ouvertures et des objets extérieurs apparaît avant les améliorations secondaires. Le score du domaine logement est inférieur à celui du kit.</w:t>
            </w:r>
          </w:p>
          <w:p>
            <w:pPr>
              <w:spacing w:after="30"/>
            </w:pPr>
            <w:r>
              <w:rPr>
                <w:rFonts w:ascii="Arial" w:hAnsi="Arial"/>
                <w:b/>
                <w:color w:val="0B7165"/>
                <w:sz w:val="17"/>
              </w:rPr>
              <w:t xml:space="preserve">Preuve à conserver : </w:t>
            </w:r>
            <w:r>
              <w:rPr>
                <w:rFonts w:ascii="Arial" w:hAnsi="Arial"/>
                <w:color w:val="1E2A3A"/>
                <w:sz w:val="17"/>
              </w:rPr>
              <w:t>Scores par domaine ; ordre des priorités ; actions sous sept jours.</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T07 — Réponses « Je ne sais pas »</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Un adulte ne connaissant pas précisément l’état de sa préparation.</w:t>
            </w:r>
          </w:p>
          <w:p>
            <w:pPr>
              <w:spacing w:after="30"/>
            </w:pPr>
            <w:r>
              <w:rPr>
                <w:rFonts w:ascii="Arial" w:hAnsi="Arial"/>
                <w:b/>
                <w:color w:val="0B7165"/>
                <w:sz w:val="17"/>
              </w:rPr>
              <w:t xml:space="preserve">Entrées principales : </w:t>
            </w:r>
            <w:r>
              <w:rPr>
                <w:rFonts w:ascii="Arial" w:hAnsi="Arial"/>
                <w:color w:val="1E2A3A"/>
                <w:sz w:val="17"/>
              </w:rPr>
              <w:t>Sélection de « Je ne sais pas » ou équivalent sur plusieurs questions.</w:t>
            </w:r>
          </w:p>
          <w:p>
            <w:pPr>
              <w:spacing w:after="30"/>
            </w:pPr>
            <w:r>
              <w:rPr>
                <w:rFonts w:ascii="Arial" w:hAnsi="Arial"/>
                <w:b/>
                <w:color w:val="0B7165"/>
                <w:sz w:val="17"/>
              </w:rPr>
              <w:t xml:space="preserve">Résultat attendu : </w:t>
            </w:r>
            <w:r>
              <w:rPr>
                <w:rFonts w:ascii="Arial" w:hAnsi="Arial"/>
                <w:color w:val="1E2A3A"/>
                <w:sz w:val="17"/>
              </w:rPr>
              <w:t>Le score reste prudent et l’outil propose de vérifier ou de compléter les éléments concernés. Il ne transforme pas l’incertitude en situation maîtrisée.</w:t>
            </w:r>
          </w:p>
          <w:p>
            <w:pPr>
              <w:spacing w:after="30"/>
            </w:pPr>
            <w:r>
              <w:rPr>
                <w:rFonts w:ascii="Arial" w:hAnsi="Arial"/>
                <w:b/>
                <w:color w:val="0B7165"/>
                <w:sz w:val="17"/>
              </w:rPr>
              <w:t xml:space="preserve">Preuve à conserver : </w:t>
            </w:r>
            <w:r>
              <w:rPr>
                <w:rFonts w:ascii="Arial" w:hAnsi="Arial"/>
                <w:color w:val="1E2A3A"/>
                <w:sz w:val="17"/>
              </w:rPr>
              <w:t>Capture du score, formulation des priorités et comparaison avec des réponses favorables.</w:t>
            </w:r>
          </w:p>
        </w:tc>
      </w:tr>
    </w:tbl>
    <w:p>
      <w:pPr>
        <w:spacing w:after="0"/>
      </w:pPr>
    </w:p>
    <w:tbl>
      <w:tblPr>
        <w:tblW w:type="auto" w:w="0"/>
        <w:jc w:val="center"/>
        <w:tblLayout w:type="fixed"/>
        <w:tblLook w:firstColumn="1" w:firstRow="1" w:lastColumn="0" w:lastRow="0" w:noHBand="0" w:noVBand="1" w:val="04A0"/>
      </w:tblPr>
      <w:tblGrid>
        <w:gridCol w:w="10091"/>
      </w:tblGrid>
      <w:tr>
        <w:trPr>
          <w:cantSplit/>
        </w:trPr>
        <w:tc>
          <w:tcPr>
            <w:tcW w:type="dxa" w:w="10148"/>
            <w:shd w:fill="FFFFFF"/>
            <w:tcBorders>
              <w:top w:sz="8" w:val="single" w:color="159B89"/>
              <w:left w:sz="8" w:val="single" w:color="159B89"/>
              <w:bottom w:sz="8" w:val="single" w:color="159B89"/>
              <w:right w:sz="8" w:val="single" w:color="159B89"/>
            </w:tcBorders>
            <w:tcMar>
              <w:top w:w="100" w:type="dxa"/>
              <w:start w:w="130" w:type="dxa"/>
              <w:bottom w:w="100" w:type="dxa"/>
              <w:end w:w="130" w:type="dxa"/>
            </w:tcMar>
          </w:tcPr>
          <w:p>
            <w:pPr>
              <w:spacing w:after="60"/>
            </w:pPr>
            <w:r/>
            <w:r>
              <w:rPr>
                <w:rFonts w:ascii="Arial" w:hAnsi="Arial"/>
                <w:b/>
                <w:color w:val="173C66"/>
                <w:sz w:val="21"/>
              </w:rPr>
              <w:t>T08 — Profil minimal et réponses défavorables</w:t>
            </w:r>
            <w:r>
              <w:rPr>
                <w:rFonts w:ascii="Arial" w:hAnsi="Arial"/>
                <w:b/>
                <w:color w:val="F39C34"/>
                <w:sz w:val="17"/>
              </w:rPr>
              <w:t xml:space="preserve">   [À exécuter]</w:t>
            </w:r>
          </w:p>
          <w:p>
            <w:pPr>
              <w:spacing w:after="30"/>
            </w:pPr>
            <w:r>
              <w:rPr>
                <w:rFonts w:ascii="Arial" w:hAnsi="Arial"/>
                <w:b/>
                <w:color w:val="0B7165"/>
                <w:sz w:val="17"/>
              </w:rPr>
              <w:t xml:space="preserve">Profil : </w:t>
            </w:r>
            <w:r>
              <w:rPr>
                <w:rFonts w:ascii="Arial" w:hAnsi="Arial"/>
                <w:color w:val="1E2A3A"/>
                <w:sz w:val="17"/>
              </w:rPr>
              <w:t>Profil volontairement très peu préparé utilisé comme cas limite.</w:t>
            </w:r>
          </w:p>
          <w:p>
            <w:pPr>
              <w:spacing w:after="30"/>
            </w:pPr>
            <w:r>
              <w:rPr>
                <w:rFonts w:ascii="Arial" w:hAnsi="Arial"/>
                <w:b/>
                <w:color w:val="0B7165"/>
                <w:sz w:val="17"/>
              </w:rPr>
              <w:t xml:space="preserve">Entrées principales : </w:t>
            </w:r>
            <w:r>
              <w:rPr>
                <w:rFonts w:ascii="Arial" w:hAnsi="Arial"/>
                <w:color w:val="1E2A3A"/>
                <w:sz w:val="17"/>
              </w:rPr>
              <w:t>Réponses les plus défavorables disponibles dans tous les domaines.</w:t>
            </w:r>
          </w:p>
          <w:p>
            <w:pPr>
              <w:spacing w:after="30"/>
            </w:pPr>
            <w:r>
              <w:rPr>
                <w:rFonts w:ascii="Arial" w:hAnsi="Arial"/>
                <w:b/>
                <w:color w:val="0B7165"/>
                <w:sz w:val="17"/>
              </w:rPr>
              <w:t xml:space="preserve">Résultat attendu : </w:t>
            </w:r>
            <w:r>
              <w:rPr>
                <w:rFonts w:ascii="Arial" w:hAnsi="Arial"/>
                <w:color w:val="1E2A3A"/>
                <w:sz w:val="17"/>
              </w:rPr>
              <w:t>Score valide, bas et non négatif ; priorités hiérarchisées, non contradictoires et sans accumulation illisible. Présence du rappel des limites de l’outil.</w:t>
            </w:r>
          </w:p>
          <w:p>
            <w:pPr>
              <w:spacing w:after="30"/>
            </w:pPr>
            <w:r>
              <w:rPr>
                <w:rFonts w:ascii="Arial" w:hAnsi="Arial"/>
                <w:b/>
                <w:color w:val="0B7165"/>
                <w:sz w:val="17"/>
              </w:rPr>
              <w:t xml:space="preserve">Preuve à conserver : </w:t>
            </w:r>
            <w:r>
              <w:rPr>
                <w:rFonts w:ascii="Arial" w:hAnsi="Arial"/>
                <w:color w:val="1E2A3A"/>
                <w:sz w:val="17"/>
              </w:rPr>
              <w:t>Enregistrement complet du parcours ; résultat ; PDF ; capture des éventuels messages d’erreur.</w:t>
            </w:r>
          </w:p>
        </w:tc>
      </w:tr>
    </w:tbl>
    <w:p>
      <w:pPr>
        <w:spacing w:after="0"/>
      </w:pPr>
    </w:p>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7</w:t>
            </w:r>
          </w:p>
        </w:tc>
        <w:tc>
          <w:tcPr>
            <w:tcW w:type="dxa" w:w="5074"/>
            <w:shd w:fill="173C66"/>
            <w:tcMar>
              <w:top w:w="130" w:type="dxa"/>
              <w:start w:w="110" w:type="dxa"/>
              <w:bottom w:w="130" w:type="dxa"/>
              <w:end w:w="110" w:type="dxa"/>
            </w:tcMar>
          </w:tcPr>
          <w:p>
            <w:pPr>
              <w:spacing w:after="0"/>
            </w:pPr>
            <w:r/>
            <w:r>
              <w:rPr>
                <w:rFonts w:ascii="Arial" w:hAnsi="Arial"/>
                <w:b/>
                <w:color w:val="FFFFFF"/>
                <w:sz w:val="34"/>
              </w:rPr>
              <w:t>Tests transverses et cas de non-régression</w:t>
            </w:r>
          </w:p>
          <w:p>
            <w:pPr>
              <w:spacing w:before="40" w:after="0"/>
            </w:pPr>
            <w:r>
              <w:rPr>
                <w:rFonts w:ascii="Arial" w:hAnsi="Arial"/>
                <w:color w:val="DDE7F0"/>
                <w:sz w:val="17"/>
              </w:rPr>
              <w:t>Vérifications communes à tous les profils et à chaque nouvelle version</w:t>
            </w:r>
          </w:p>
        </w:tc>
      </w:tr>
    </w:tbl>
    <w:p>
      <w:pPr>
        <w:spacing w:after="0"/>
      </w:pPr>
    </w:p>
    <w:tbl>
      <w:tblPr>
        <w:tblW w:type="auto" w:w="0"/>
        <w:jc w:val="center"/>
        <w:tblLayout w:type="fixed"/>
        <w:tblLook w:firstColumn="1" w:firstRow="1" w:lastColumn="0" w:lastRow="0" w:noHBand="0" w:noVBand="1" w:val="04A0"/>
      </w:tblPr>
      <w:tblGrid>
        <w:gridCol w:w="624"/>
        <w:gridCol w:w="1814"/>
        <w:gridCol w:w="6066"/>
        <w:gridCol w:w="1587"/>
      </w:tblGrid>
      <w:tr>
        <w:trPr>
          <w:tblHeader w:val="true"/>
          <w:cantSplit/>
        </w:trPr>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ID</w:t>
            </w:r>
          </w:p>
        </w:tc>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Contrôle</w:t>
            </w:r>
          </w:p>
        </w:tc>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Résultat attendu</w:t>
            </w:r>
          </w:p>
        </w:tc>
        <w:tc>
          <w:tcPr>
            <w:tcW w:type="dxa" w:w="2537"/>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4"/>
              </w:rPr>
              <w:t>Statut initial</w:t>
            </w:r>
          </w:p>
        </w:tc>
      </w:tr>
      <w:tr>
        <w:trPr>
          <w:cantSplit/>
        </w:trPr>
        <w:tc>
          <w:tcPr>
            <w:tcW w:type="dxa" w:w="6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TR01</w:t>
            </w:r>
          </w:p>
        </w:tc>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Bornes du score</w:t>
            </w:r>
          </w:p>
        </w:tc>
        <w:tc>
          <w:tcPr>
            <w:tcW w:type="dxa" w:w="6066"/>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Le score reste compris entre 0 et 100 pour tous les profils.</w:t>
            </w:r>
          </w:p>
        </w:tc>
        <w:tc>
          <w:tcPr>
            <w:tcW w:type="dxa" w:w="158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TR02</w:t>
            </w:r>
          </w:p>
        </w:tc>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Monotonie locale</w:t>
            </w:r>
          </w:p>
        </w:tc>
        <w:tc>
          <w:tcPr>
            <w:tcW w:type="dxa" w:w="6066"/>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Améliorer une seule réponse ne réduit pas le score du domaine.</w:t>
            </w:r>
          </w:p>
        </w:tc>
        <w:tc>
          <w:tcPr>
            <w:tcW w:type="dxa" w:w="158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TR03</w:t>
            </w:r>
          </w:p>
        </w:tc>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Modification</w:t>
            </w:r>
          </w:p>
        </w:tc>
        <w:tc>
          <w:tcPr>
            <w:tcW w:type="dxa" w:w="6066"/>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Changer une réponse met à jour le score et les priorités sans conserver un résultat obsolète.</w:t>
            </w:r>
          </w:p>
        </w:tc>
        <w:tc>
          <w:tcPr>
            <w:tcW w:type="dxa" w:w="158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TR04</w:t>
            </w:r>
          </w:p>
        </w:tc>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Retour arrière</w:t>
            </w:r>
          </w:p>
        </w:tc>
        <w:tc>
          <w:tcPr>
            <w:tcW w:type="dxa" w:w="6066"/>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L’utilisateur peut revenir à l’étape précédente sans perte inattendue.</w:t>
            </w:r>
          </w:p>
        </w:tc>
        <w:tc>
          <w:tcPr>
            <w:tcW w:type="dxa" w:w="158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TR05</w:t>
            </w:r>
          </w:p>
        </w:tc>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Persistance locale</w:t>
            </w:r>
          </w:p>
        </w:tc>
        <w:tc>
          <w:tcPr>
            <w:tcW w:type="dxa" w:w="6066"/>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Checklist et actions personnelles sont conservées sur le même appareil.</w:t>
            </w:r>
          </w:p>
        </w:tc>
        <w:tc>
          <w:tcPr>
            <w:tcW w:type="dxa" w:w="158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TR06</w:t>
            </w:r>
          </w:p>
        </w:tc>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Effacement</w:t>
            </w:r>
          </w:p>
        </w:tc>
        <w:tc>
          <w:tcPr>
            <w:tcW w:type="dxa" w:w="6066"/>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La commande d’effacement supprime les données locales et réinitialise le parcours.</w:t>
            </w:r>
          </w:p>
        </w:tc>
        <w:tc>
          <w:tcPr>
            <w:tcW w:type="dxa" w:w="158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TR07</w:t>
            </w:r>
          </w:p>
        </w:tc>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Export PDF</w:t>
            </w:r>
          </w:p>
        </w:tc>
        <w:tc>
          <w:tcPr>
            <w:tcW w:type="dxa" w:w="6066"/>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Le document contient les résultats attendus, reste lisible et n’expose pas de donnée inutile.</w:t>
            </w:r>
          </w:p>
        </w:tc>
        <w:tc>
          <w:tcPr>
            <w:tcW w:type="dxa" w:w="158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finaliser</w:t>
            </w:r>
          </w:p>
        </w:tc>
      </w:tr>
      <w:tr>
        <w:trPr>
          <w:cantSplit/>
        </w:trPr>
        <w:tc>
          <w:tcPr>
            <w:tcW w:type="dxa" w:w="6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TR08</w:t>
            </w:r>
          </w:p>
        </w:tc>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Attestation</w:t>
            </w:r>
          </w:p>
        </w:tc>
        <w:tc>
          <w:tcPr>
            <w:tcW w:type="dxa" w:w="6066"/>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L’attestation est facultative, sans valeur de certification et sans conservation du nom par défaut.</w:t>
            </w:r>
          </w:p>
        </w:tc>
        <w:tc>
          <w:tcPr>
            <w:tcW w:type="dxa" w:w="158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finaliser</w:t>
            </w:r>
          </w:p>
        </w:tc>
      </w:tr>
      <w:tr>
        <w:trPr>
          <w:cantSplit/>
        </w:trPr>
        <w:tc>
          <w:tcPr>
            <w:tcW w:type="dxa" w:w="6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TR09</w:t>
            </w:r>
          </w:p>
        </w:tc>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Responsive</w:t>
            </w:r>
          </w:p>
        </w:tc>
        <w:tc>
          <w:tcPr>
            <w:tcW w:type="dxa" w:w="6066"/>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Aucun texte, bouton ou tableau essentiel n’est coupé sur smartphone.</w:t>
            </w:r>
          </w:p>
        </w:tc>
        <w:tc>
          <w:tcPr>
            <w:tcW w:type="dxa" w:w="158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TR10</w:t>
            </w:r>
          </w:p>
        </w:tc>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Clavier</w:t>
            </w:r>
          </w:p>
        </w:tc>
        <w:tc>
          <w:tcPr>
            <w:tcW w:type="dxa" w:w="6066"/>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Le parcours principal est utilisable au clavier avec focus visible.</w:t>
            </w:r>
          </w:p>
        </w:tc>
        <w:tc>
          <w:tcPr>
            <w:tcW w:type="dxa" w:w="158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TR11</w:t>
            </w:r>
          </w:p>
        </w:tc>
        <w:tc>
          <w:tcPr>
            <w:tcW w:type="dxa" w:w="181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Contrastes</w:t>
            </w:r>
          </w:p>
        </w:tc>
        <w:tc>
          <w:tcPr>
            <w:tcW w:type="dxa" w:w="6066"/>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Les informations essentielles restent lisibles et ne reposent pas uniquement sur la couleur.</w:t>
            </w:r>
          </w:p>
        </w:tc>
        <w:tc>
          <w:tcPr>
            <w:tcW w:type="dxa" w:w="158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exécuter</w:t>
            </w:r>
          </w:p>
        </w:tc>
      </w:tr>
      <w:tr>
        <w:trPr>
          <w:cantSplit/>
        </w:trPr>
        <w:tc>
          <w:tcPr>
            <w:tcW w:type="dxa" w:w="6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TR12</w:t>
            </w:r>
          </w:p>
        </w:tc>
        <w:tc>
          <w:tcPr>
            <w:tcW w:type="dxa" w:w="181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Sources</w:t>
            </w:r>
          </w:p>
        </w:tc>
        <w:tc>
          <w:tcPr>
            <w:tcW w:type="dxa" w:w="6066"/>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Chaque recommandation sensible renvoie à une source ou à un statut éditorial explicite.</w:t>
            </w:r>
          </w:p>
        </w:tc>
        <w:tc>
          <w:tcPr>
            <w:tcW w:type="dxa" w:w="158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4"/>
              </w:rPr>
              <w:t>À finaliser</w:t>
            </w:r>
          </w:p>
        </w:tc>
      </w:tr>
    </w:tbl>
    <w:p>
      <w:pPr>
        <w:keepNext/>
        <w:spacing w:before="140" w:after="80"/>
        <w:pBdr>
          <w:bottom w:val="single" w:sz="8" w:space="2" w:color="173C66"/>
        </w:pBdr>
      </w:pPr>
      <w:r>
        <w:rPr>
          <w:rFonts w:ascii="Arial" w:hAnsi="Arial"/>
          <w:b/>
          <w:color w:val="173C66"/>
          <w:sz w:val="25"/>
        </w:rPr>
        <w:t>Tests de sécurité éditoriale</w:t>
      </w:r>
    </w:p>
    <w:p>
      <w:pPr>
        <w:pStyle w:val="ListBullet"/>
        <w:spacing w:after="40"/>
        <w:ind w:left="255" w:hanging="102"/>
      </w:pPr>
      <w:r>
        <w:rPr>
          <w:rFonts w:ascii="Arial" w:hAnsi="Arial"/>
          <w:color w:val="1E2A3A"/>
          <w:sz w:val="18"/>
        </w:rPr>
        <w:t>Vérifier qu’aucune page ne laisse entendre que le score garantit la sécurité du foyer.</w:t>
      </w:r>
    </w:p>
    <w:p>
      <w:pPr>
        <w:pStyle w:val="ListBullet"/>
        <w:spacing w:after="40"/>
        <w:ind w:left="255" w:hanging="102"/>
      </w:pPr>
      <w:r>
        <w:rPr>
          <w:rFonts w:ascii="Arial" w:hAnsi="Arial"/>
          <w:color w:val="1E2A3A"/>
          <w:sz w:val="18"/>
        </w:rPr>
        <w:t>Vérifier l’affichage permanent ou contextuel du renvoi vers les alertes et consignes officielles.</w:t>
      </w:r>
    </w:p>
    <w:p>
      <w:pPr>
        <w:pStyle w:val="ListBullet"/>
        <w:spacing w:after="40"/>
        <w:ind w:left="255" w:hanging="102"/>
      </w:pPr>
      <w:r>
        <w:rPr>
          <w:rFonts w:ascii="Arial" w:hAnsi="Arial"/>
          <w:color w:val="1E2A3A"/>
          <w:sz w:val="18"/>
        </w:rPr>
        <w:t>Vérifier que les contenus marqués « En cours de validation éditoriale » ne sont pas présentés comme définitifs lors de l’ouverture publique.</w:t>
      </w:r>
    </w:p>
    <w:p>
      <w:pPr>
        <w:pStyle w:val="ListBullet"/>
        <w:spacing w:after="40"/>
        <w:ind w:left="255" w:hanging="102"/>
      </w:pPr>
      <w:r>
        <w:rPr>
          <w:rFonts w:ascii="Arial" w:hAnsi="Arial"/>
          <w:color w:val="1E2A3A"/>
          <w:sz w:val="18"/>
        </w:rPr>
        <w:t>Vérifier qu’aucune recommandation ne demande de modifier un traitement médical ou de retarder l’appel aux secours.</w:t>
      </w:r>
    </w:p>
    <w:tbl>
      <w:tblPr>
        <w:tblW w:type="auto" w:w="0"/>
        <w:jc w:val="center"/>
        <w:tblLayout w:type="fixed"/>
        <w:tblLook w:firstColumn="1" w:firstRow="1" w:lastColumn="0" w:lastRow="0" w:noHBand="0" w:noVBand="1" w:val="04A0"/>
      </w:tblPr>
      <w:tblGrid>
        <w:gridCol w:w="198"/>
        <w:gridCol w:w="9893"/>
      </w:tblGrid>
      <w:tr>
        <w:trPr>
          <w:cantSplit/>
        </w:trPr>
        <w:tc>
          <w:tcPr>
            <w:tcW w:type="dxa" w:w="5074"/>
            <w:shd w:fill="C0392B"/>
            <w:tcMar>
              <w:top w:w="100" w:type="dxa"/>
              <w:start w:w="0" w:type="dxa"/>
              <w:bottom w:w="100" w:type="dxa"/>
              <w:end w:w="0" w:type="dxa"/>
            </w:tcMar>
          </w:tcPr>
          <w:p/>
        </w:tc>
        <w:tc>
          <w:tcPr>
            <w:tcW w:type="dxa" w:w="5074"/>
            <w:shd w:fill="FDECEC"/>
            <w:tcMar>
              <w:top w:w="110" w:type="dxa"/>
              <w:start w:w="150" w:type="dxa"/>
              <w:bottom w:w="110" w:type="dxa"/>
              <w:end w:w="150" w:type="dxa"/>
            </w:tcMar>
          </w:tcPr>
          <w:p>
            <w:pPr>
              <w:spacing w:after="40"/>
            </w:pPr>
            <w:r/>
            <w:r>
              <w:rPr>
                <w:rFonts w:ascii="Arial" w:hAnsi="Arial"/>
                <w:b/>
                <w:color w:val="173C66"/>
                <w:sz w:val="20"/>
              </w:rPr>
              <w:t>Condition bloquante de mise en ligne</w:t>
            </w:r>
          </w:p>
          <w:p>
            <w:pPr>
              <w:spacing w:after="0"/>
            </w:pPr>
            <w:r>
              <w:rPr>
                <w:rFonts w:ascii="Arial" w:hAnsi="Arial"/>
                <w:color w:val="1E2A3A"/>
                <w:sz w:val="17"/>
              </w:rPr>
              <w:t>Toute anomalie pouvant conduire à une mauvaise décision de sécurité, une fausse assurance ou une recommandation médicale individualisée est classée critique et doit être corrigée avant l’ouverture publique.</w:t>
            </w:r>
          </w:p>
        </w:tc>
      </w:tr>
    </w:tbl>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8</w:t>
            </w:r>
          </w:p>
        </w:tc>
        <w:tc>
          <w:tcPr>
            <w:tcW w:type="dxa" w:w="5074"/>
            <w:shd w:fill="173C66"/>
            <w:tcMar>
              <w:top w:w="130" w:type="dxa"/>
              <w:start w:w="110" w:type="dxa"/>
              <w:bottom w:w="130" w:type="dxa"/>
              <w:end w:w="110" w:type="dxa"/>
            </w:tcMar>
          </w:tcPr>
          <w:p>
            <w:pPr>
              <w:spacing w:after="0"/>
            </w:pPr>
            <w:r/>
            <w:r>
              <w:rPr>
                <w:rFonts w:ascii="Arial" w:hAnsi="Arial"/>
                <w:b/>
                <w:color w:val="FFFFFF"/>
                <w:sz w:val="34"/>
              </w:rPr>
              <w:t>Journal des anomalies et preuves</w:t>
            </w:r>
          </w:p>
          <w:p>
            <w:pPr>
              <w:spacing w:before="40" w:after="0"/>
            </w:pPr>
            <w:r>
              <w:rPr>
                <w:rFonts w:ascii="Arial" w:hAnsi="Arial"/>
                <w:color w:val="DDE7F0"/>
                <w:sz w:val="17"/>
              </w:rPr>
              <w:t>Un format unique pour documenter, corriger et rejouer les écarts</w:t>
            </w:r>
          </w:p>
        </w:tc>
      </w:tr>
    </w:tbl>
    <w:p>
      <w:pPr>
        <w:spacing w:after="0"/>
      </w:pPr>
    </w:p>
    <w:p>
      <w:pPr>
        <w:keepNext/>
        <w:spacing w:before="140" w:after="80"/>
        <w:pBdr>
          <w:bottom w:val="single" w:sz="8" w:space="2" w:color="173C66"/>
        </w:pBdr>
      </w:pPr>
      <w:r>
        <w:rPr>
          <w:rFonts w:ascii="Arial" w:hAnsi="Arial"/>
          <w:b/>
          <w:color w:val="173C66"/>
          <w:sz w:val="25"/>
        </w:rPr>
        <w:t>8.1 Fiche d’anomalie</w:t>
      </w:r>
    </w:p>
    <w:tbl>
      <w:tblPr>
        <w:tblW w:type="auto" w:w="0"/>
        <w:jc w:val="center"/>
        <w:tblLayout w:type="fixed"/>
        <w:tblLook w:firstColumn="1" w:firstRow="1" w:lastColumn="0" w:lastRow="0" w:noHBand="0" w:noVBand="1" w:val="04A0"/>
      </w:tblPr>
      <w:tblGrid>
        <w:gridCol w:w="2268"/>
        <w:gridCol w:w="7824"/>
      </w:tblGrid>
      <w:tr>
        <w:trPr>
          <w:tblHeader w:val="true"/>
          <w:cantSplit/>
        </w:trPr>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Champ</w:t>
            </w:r>
          </w:p>
        </w:tc>
        <w:tc>
          <w:tcPr>
            <w:tcW w:type="dxa" w:w="5074"/>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Contenu attendu</w:t>
            </w:r>
          </w:p>
        </w:tc>
      </w:tr>
      <w:tr>
        <w:trPr>
          <w:cantSplit/>
        </w:trPr>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Identifiant</w:t>
            </w:r>
          </w:p>
        </w:tc>
        <w:tc>
          <w:tcPr>
            <w:tcW w:type="dxa" w:w="78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ANO-AAAA-XXX</w:t>
            </w:r>
          </w:p>
        </w:tc>
      </w:tr>
      <w:tr>
        <w:trPr>
          <w:cantSplit/>
        </w:trPr>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Date / version</w:t>
            </w:r>
          </w:p>
        </w:tc>
        <w:tc>
          <w:tcPr>
            <w:tcW w:type="dxa" w:w="78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r>
      <w:tr>
        <w:trPr>
          <w:cantSplit/>
        </w:trPr>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Scénario concerné</w:t>
            </w:r>
          </w:p>
        </w:tc>
        <w:tc>
          <w:tcPr>
            <w:tcW w:type="dxa" w:w="78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T01 à T08 ou TR01 à TR12</w:t>
            </w:r>
          </w:p>
        </w:tc>
      </w:tr>
      <w:tr>
        <w:trPr>
          <w:cantSplit/>
        </w:trPr>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Gravité</w:t>
            </w:r>
          </w:p>
        </w:tc>
        <w:tc>
          <w:tcPr>
            <w:tcW w:type="dxa" w:w="78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Critique / majeure / mineure / amélioration</w:t>
            </w:r>
          </w:p>
        </w:tc>
      </w:tr>
      <w:tr>
        <w:trPr>
          <w:cantSplit/>
        </w:trPr>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Description</w:t>
            </w:r>
          </w:p>
        </w:tc>
        <w:tc>
          <w:tcPr>
            <w:tcW w:type="dxa" w:w="78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Comportement observé et raison de l’écart.</w:t>
            </w:r>
          </w:p>
        </w:tc>
      </w:tr>
      <w:tr>
        <w:trPr>
          <w:cantSplit/>
        </w:trPr>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Étapes de reproduction</w:t>
            </w:r>
          </w:p>
        </w:tc>
        <w:tc>
          <w:tcPr>
            <w:tcW w:type="dxa" w:w="78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Réponses, navigation et contexte technique.</w:t>
            </w:r>
          </w:p>
        </w:tc>
      </w:tr>
      <w:tr>
        <w:trPr>
          <w:cantSplit/>
        </w:trPr>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Résultat attendu</w:t>
            </w:r>
          </w:p>
        </w:tc>
        <w:tc>
          <w:tcPr>
            <w:tcW w:type="dxa" w:w="78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Critère de recette concerné.</w:t>
            </w:r>
          </w:p>
        </w:tc>
      </w:tr>
      <w:tr>
        <w:trPr>
          <w:cantSplit/>
        </w:trPr>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Résultat observé</w:t>
            </w:r>
          </w:p>
        </w:tc>
        <w:tc>
          <w:tcPr>
            <w:tcW w:type="dxa" w:w="78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Texte exact, score, priorité ou écran.</w:t>
            </w:r>
          </w:p>
        </w:tc>
      </w:tr>
      <w:tr>
        <w:trPr>
          <w:cantSplit/>
        </w:trPr>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Preuve</w:t>
            </w:r>
          </w:p>
        </w:tc>
        <w:tc>
          <w:tcPr>
            <w:tcW w:type="dxa" w:w="78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Nom de la capture, du PDF ou de la vidéo.</w:t>
            </w:r>
          </w:p>
        </w:tc>
      </w:tr>
      <w:tr>
        <w:trPr>
          <w:cantSplit/>
        </w:trPr>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Correction</w:t>
            </w:r>
          </w:p>
        </w:tc>
        <w:tc>
          <w:tcPr>
            <w:tcW w:type="dxa" w:w="782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Modification réalisée ou décision éditoriale.</w:t>
            </w:r>
          </w:p>
        </w:tc>
      </w:tr>
      <w:tr>
        <w:trPr>
          <w:cantSplit/>
        </w:trPr>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Re-test</w:t>
            </w:r>
          </w:p>
        </w:tc>
        <w:tc>
          <w:tcPr>
            <w:tcW w:type="dxa" w:w="782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Date, version et résultat du test de confirmation.</w:t>
            </w:r>
          </w:p>
        </w:tc>
      </w:tr>
    </w:tbl>
    <w:p>
      <w:pPr>
        <w:keepNext/>
        <w:spacing w:before="140" w:after="80"/>
        <w:pBdr>
          <w:bottom w:val="single" w:sz="8" w:space="2" w:color="173C66"/>
        </w:pBdr>
      </w:pPr>
      <w:r>
        <w:rPr>
          <w:rFonts w:ascii="Arial" w:hAnsi="Arial"/>
          <w:b/>
          <w:color w:val="173C66"/>
          <w:sz w:val="25"/>
        </w:rPr>
        <w:t>8.2 Niveaux de gravité</w:t>
      </w:r>
    </w:p>
    <w:tbl>
      <w:tblPr>
        <w:tblW w:type="auto" w:w="0"/>
        <w:jc w:val="center"/>
        <w:tblLayout w:type="fixed"/>
        <w:tblLook w:firstColumn="1" w:firstRow="1" w:lastColumn="0" w:lastRow="0" w:noHBand="0" w:noVBand="1" w:val="04A0"/>
      </w:tblPr>
      <w:tblGrid>
        <w:gridCol w:w="1757"/>
        <w:gridCol w:w="8334"/>
      </w:tblGrid>
      <w:tr>
        <w:trPr>
          <w:tblHeader w:val="true"/>
          <w:cantSplit/>
        </w:trPr>
        <w:tc>
          <w:tcPr>
            <w:tcW w:type="dxa" w:w="5074"/>
            <w:shd w:fill="0B7165"/>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Gravité</w:t>
            </w:r>
          </w:p>
        </w:tc>
        <w:tc>
          <w:tcPr>
            <w:tcW w:type="dxa" w:w="5074"/>
            <w:shd w:fill="0B7165"/>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Définition</w:t>
            </w:r>
          </w:p>
        </w:tc>
      </w:tr>
      <w:tr>
        <w:trPr>
          <w:cantSplit/>
        </w:trPr>
        <w:tc>
          <w:tcPr>
            <w:tcW w:type="dxa" w:w="175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Critique</w:t>
            </w:r>
          </w:p>
        </w:tc>
        <w:tc>
          <w:tcPr>
            <w:tcW w:type="dxa" w:w="833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Risque pour la sécurité, recommandation dangereuse, fuite de données ou impossibilité générale d’utiliser le parcours.</w:t>
            </w:r>
          </w:p>
        </w:tc>
      </w:tr>
      <w:tr>
        <w:trPr>
          <w:cantSplit/>
        </w:trPr>
        <w:tc>
          <w:tcPr>
            <w:tcW w:type="dxa" w:w="175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Majeure</w:t>
            </w:r>
          </w:p>
        </w:tc>
        <w:tc>
          <w:tcPr>
            <w:tcW w:type="dxa" w:w="833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Score ou priorité incohérent, export inutilisable, perte de données ou blocage fréquent.</w:t>
            </w:r>
          </w:p>
        </w:tc>
      </w:tr>
      <w:tr>
        <w:trPr>
          <w:cantSplit/>
        </w:trPr>
        <w:tc>
          <w:tcPr>
            <w:tcW w:type="dxa" w:w="1757"/>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Mineure</w:t>
            </w:r>
          </w:p>
        </w:tc>
        <w:tc>
          <w:tcPr>
            <w:tcW w:type="dxa" w:w="8334"/>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Défaut visuel, libellé imprécis ou comportement contournable sans risque.</w:t>
            </w:r>
          </w:p>
        </w:tc>
      </w:tr>
      <w:tr>
        <w:trPr>
          <w:cantSplit/>
        </w:trPr>
        <w:tc>
          <w:tcPr>
            <w:tcW w:type="dxa" w:w="1757"/>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Amélioration</w:t>
            </w:r>
          </w:p>
        </w:tc>
        <w:tc>
          <w:tcPr>
            <w:tcW w:type="dxa" w:w="8334"/>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Suggestion d’ergonomie ou de clarté ne remettant pas en cause la conformité.</w:t>
            </w:r>
          </w:p>
        </w:tc>
      </w:tr>
    </w:tbl>
    <w:p>
      <w:pPr>
        <w:keepNext/>
        <w:spacing w:before="140" w:after="80"/>
        <w:pBdr>
          <w:bottom w:val="single" w:sz="8" w:space="2" w:color="173C66"/>
        </w:pBdr>
      </w:pPr>
      <w:r>
        <w:rPr>
          <w:rFonts w:ascii="Arial" w:hAnsi="Arial"/>
          <w:b/>
          <w:color w:val="173C66"/>
          <w:sz w:val="25"/>
        </w:rPr>
        <w:t>8.3 Nommage des preuves</w:t>
      </w:r>
    </w:p>
    <w:p>
      <w:pPr>
        <w:spacing w:after="60"/>
      </w:pPr>
      <w:r>
        <w:rPr>
          <w:rFonts w:ascii="Arial" w:hAnsi="Arial"/>
          <w:b/>
          <w:color w:val="173C66"/>
          <w:sz w:val="18"/>
        </w:rPr>
        <w:t xml:space="preserve">Format recommandé : </w:t>
      </w:r>
      <w:r>
        <w:rPr>
          <w:rFonts w:ascii="Arial" w:hAnsi="Arial"/>
          <w:color w:val="1E2A3A"/>
          <w:sz w:val="18"/>
        </w:rPr>
        <w:t>AAAA-MM-JJ_VERSION_SCENARIO_TYPE_DESCRIPTION.ext</w:t>
      </w:r>
    </w:p>
    <w:p>
      <w:pPr>
        <w:pStyle w:val="ListBullet"/>
        <w:spacing w:after="40"/>
        <w:ind w:left="255" w:hanging="102"/>
      </w:pPr>
      <w:r>
        <w:rPr>
          <w:rFonts w:ascii="Arial" w:hAnsi="Arial"/>
          <w:color w:val="1E2A3A"/>
          <w:sz w:val="18"/>
        </w:rPr>
        <w:t>2026-08-12_v0.8_T03_resultat_foyer_nourrisson.png</w:t>
      </w:r>
    </w:p>
    <w:p>
      <w:pPr>
        <w:pStyle w:val="ListBullet"/>
        <w:spacing w:after="40"/>
        <w:ind w:left="255" w:hanging="102"/>
      </w:pPr>
      <w:r>
        <w:rPr>
          <w:rFonts w:ascii="Arial" w:hAnsi="Arial"/>
          <w:color w:val="1E2A3A"/>
          <w:sz w:val="18"/>
        </w:rPr>
        <w:t>2026-08-12_v0.8_T03_kit_urgence.pdf</w:t>
      </w:r>
    </w:p>
    <w:p>
      <w:pPr>
        <w:pStyle w:val="ListBullet"/>
        <w:spacing w:after="40"/>
        <w:ind w:left="255" w:hanging="102"/>
      </w:pPr>
      <w:r>
        <w:rPr>
          <w:rFonts w:ascii="Arial" w:hAnsi="Arial"/>
          <w:color w:val="1E2A3A"/>
          <w:sz w:val="18"/>
        </w:rPr>
        <w:t>2026-08-12_v0.8_TR06_effacement_donnees.mp4</w:t>
      </w:r>
    </w:p>
    <w:p>
      <w:r>
        <w:br w:type="page"/>
      </w:r>
    </w:p>
    <w:tbl>
      <w:tblPr>
        <w:tblW w:type="auto" w:w="0"/>
        <w:jc w:val="center"/>
        <w:tblLayout w:type="fixed"/>
        <w:tblLook w:firstColumn="1" w:firstRow="1" w:lastColumn="0" w:lastRow="0" w:noHBand="0" w:noVBand="1" w:val="04A0"/>
      </w:tblPr>
      <w:tblGrid>
        <w:gridCol w:w="850"/>
        <w:gridCol w:w="9241"/>
      </w:tblGrid>
      <w:tr>
        <w:trPr>
          <w:cantSplit/>
        </w:trPr>
        <w:tc>
          <w:tcPr>
            <w:tcW w:type="dxa" w:w="5074"/>
            <w:shd w:fill="173C66"/>
            <w:tcMar>
              <w:top w:w="130" w:type="dxa"/>
              <w:start w:w="110" w:type="dxa"/>
              <w:bottom w:w="130" w:type="dxa"/>
              <w:end w:w="110" w:type="dxa"/>
            </w:tcMar>
          </w:tcPr>
          <w:p>
            <w:pPr>
              <w:spacing w:after="0" w:before="0" w:line="240" w:lineRule="auto"/>
              <w:jc w:val="center"/>
            </w:pPr>
            <w:r/>
            <w:r>
              <w:rPr>
                <w:rFonts w:ascii="Arial" w:hAnsi="Arial"/>
                <w:b/>
                <w:color w:val="FFFFFF"/>
                <w:sz w:val="38"/>
              </w:rPr>
              <w:t>9</w:t>
            </w:r>
          </w:p>
        </w:tc>
        <w:tc>
          <w:tcPr>
            <w:tcW w:type="dxa" w:w="5074"/>
            <w:shd w:fill="173C66"/>
            <w:tcMar>
              <w:top w:w="130" w:type="dxa"/>
              <w:start w:w="110" w:type="dxa"/>
              <w:bottom w:w="130" w:type="dxa"/>
              <w:end w:w="110" w:type="dxa"/>
            </w:tcMar>
          </w:tcPr>
          <w:p>
            <w:pPr>
              <w:spacing w:after="0"/>
            </w:pPr>
            <w:r/>
            <w:r>
              <w:rPr>
                <w:rFonts w:ascii="Arial" w:hAnsi="Arial"/>
                <w:b/>
                <w:color w:val="FFFFFF"/>
                <w:sz w:val="34"/>
              </w:rPr>
              <w:t>Synthèse de recette et décision de mise en ligne</w:t>
            </w:r>
          </w:p>
          <w:p>
            <w:pPr>
              <w:spacing w:before="40" w:after="0"/>
            </w:pPr>
            <w:r>
              <w:rPr>
                <w:rFonts w:ascii="Arial" w:hAnsi="Arial"/>
                <w:color w:val="DDE7F0"/>
                <w:sz w:val="17"/>
              </w:rPr>
              <w:t>Tableau à compléter après exécution des scénarios et correction des anomalies</w:t>
            </w:r>
          </w:p>
        </w:tc>
      </w:tr>
    </w:tbl>
    <w:p>
      <w:pPr>
        <w:spacing w:after="0"/>
      </w:pPr>
    </w:p>
    <w:p>
      <w:pPr>
        <w:keepNext/>
        <w:spacing w:before="140" w:after="80"/>
        <w:pBdr>
          <w:bottom w:val="single" w:sz="8" w:space="2" w:color="173C66"/>
        </w:pBdr>
      </w:pPr>
      <w:r>
        <w:rPr>
          <w:rFonts w:ascii="Arial" w:hAnsi="Arial"/>
          <w:b/>
          <w:color w:val="173C66"/>
          <w:sz w:val="25"/>
        </w:rPr>
        <w:t>9.1 Résultats consolidés</w:t>
      </w:r>
    </w:p>
    <w:tbl>
      <w:tblPr>
        <w:tblW w:type="auto" w:w="0"/>
        <w:jc w:val="center"/>
        <w:tblLayout w:type="fixed"/>
        <w:tblLook w:firstColumn="1" w:firstRow="1" w:lastColumn="0" w:lastRow="0" w:noHBand="0" w:noVBand="1" w:val="04A0"/>
      </w:tblPr>
      <w:tblGrid>
        <w:gridCol w:w="3515"/>
        <w:gridCol w:w="2268"/>
        <w:gridCol w:w="4309"/>
      </w:tblGrid>
      <w:tr>
        <w:trPr>
          <w:tblHeader w:val="true"/>
          <w:cantSplit/>
        </w:trPr>
        <w:tc>
          <w:tcPr>
            <w:tcW w:type="dxa" w:w="3383"/>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Indicateur</w:t>
            </w:r>
          </w:p>
        </w:tc>
        <w:tc>
          <w:tcPr>
            <w:tcW w:type="dxa" w:w="3383"/>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Résultat</w:t>
            </w:r>
          </w:p>
        </w:tc>
        <w:tc>
          <w:tcPr>
            <w:tcW w:type="dxa" w:w="3383"/>
            <w:shd w:fill="173C66"/>
            <w:vAlign w:val="center"/>
            <w:tcMar>
              <w:top w:w="100" w:type="dxa"/>
              <w:start w:w="80" w:type="dxa"/>
              <w:bottom w:w="100" w:type="dxa"/>
              <w:end w:w="80" w:type="dxa"/>
            </w:tcMar>
            <w:tcBorders>
              <w:top w:sz="4" w:val="single" w:color="FFFFFF"/>
              <w:left w:sz="4" w:val="single" w:color="FFFFFF"/>
              <w:bottom w:sz="4" w:val="single" w:color="FFFFFF"/>
              <w:right w:sz="4" w:val="single" w:color="FFFFFF"/>
            </w:tcBorders>
          </w:tcPr>
          <w:p>
            <w:pPr>
              <w:spacing w:after="0" w:before="0" w:line="240" w:lineRule="auto"/>
              <w:jc w:val="center"/>
            </w:pPr>
            <w:r/>
            <w:r>
              <w:rPr>
                <w:rFonts w:ascii="Arial" w:hAnsi="Arial"/>
                <w:b/>
                <w:color w:val="FFFFFF"/>
                <w:sz w:val="16"/>
              </w:rPr>
              <w:t>Seuil / décision</w:t>
            </w:r>
          </w:p>
        </w:tc>
      </w:tr>
      <w:tr>
        <w:trPr>
          <w:cantSplit/>
        </w:trPr>
        <w:tc>
          <w:tcPr>
            <w:tcW w:type="dxa" w:w="351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Profils fonctionnels T01 à T08</w:t>
            </w:r>
          </w:p>
        </w:tc>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0 / 8</w:t>
            </w:r>
          </w:p>
        </w:tc>
        <w:tc>
          <w:tcPr>
            <w:tcW w:type="dxa" w:w="4309"/>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exécuter</w:t>
            </w:r>
          </w:p>
        </w:tc>
      </w:tr>
      <w:tr>
        <w:trPr>
          <w:cantSplit/>
        </w:trPr>
        <w:tc>
          <w:tcPr>
            <w:tcW w:type="dxa" w:w="351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Tests transverses TR01 à TR12</w:t>
            </w:r>
          </w:p>
        </w:tc>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0 / 12</w:t>
            </w:r>
          </w:p>
        </w:tc>
        <w:tc>
          <w:tcPr>
            <w:tcW w:type="dxa" w:w="4309"/>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exécuter</w:t>
            </w:r>
          </w:p>
        </w:tc>
      </w:tr>
      <w:tr>
        <w:trPr>
          <w:cantSplit/>
        </w:trPr>
        <w:tc>
          <w:tcPr>
            <w:tcW w:type="dxa" w:w="351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Anomalies critiques ouvertes</w:t>
            </w:r>
          </w:p>
        </w:tc>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c>
          <w:tcPr>
            <w:tcW w:type="dxa" w:w="4309"/>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Objectif : 0</w:t>
            </w:r>
          </w:p>
        </w:tc>
      </w:tr>
      <w:tr>
        <w:trPr>
          <w:cantSplit/>
        </w:trPr>
        <w:tc>
          <w:tcPr>
            <w:tcW w:type="dxa" w:w="351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Anomalies majeures ouvertes</w:t>
            </w:r>
          </w:p>
        </w:tc>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c>
          <w:tcPr>
            <w:tcW w:type="dxa" w:w="4309"/>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Objectif : 0 avant lancement</w:t>
            </w:r>
          </w:p>
        </w:tc>
      </w:tr>
      <w:tr>
        <w:trPr>
          <w:cantSplit/>
        </w:trPr>
        <w:tc>
          <w:tcPr>
            <w:tcW w:type="dxa" w:w="351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Contenus restant à valider</w:t>
            </w:r>
          </w:p>
        </w:tc>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c>
          <w:tcPr>
            <w:tcW w:type="dxa" w:w="4309"/>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Doivent être validés, reformulés ou retirés</w:t>
            </w:r>
          </w:p>
        </w:tc>
      </w:tr>
      <w:tr>
        <w:trPr>
          <w:cantSplit/>
        </w:trPr>
        <w:tc>
          <w:tcPr>
            <w:tcW w:type="dxa" w:w="351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Compatibilité mobile</w:t>
            </w:r>
          </w:p>
        </w:tc>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c>
          <w:tcPr>
            <w:tcW w:type="dxa" w:w="4309"/>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Au moins deux tailles de smartphone</w:t>
            </w:r>
          </w:p>
        </w:tc>
      </w:tr>
      <w:tr>
        <w:trPr>
          <w:cantSplit/>
        </w:trPr>
        <w:tc>
          <w:tcPr>
            <w:tcW w:type="dxa" w:w="3515"/>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Accessibilité clavier</w:t>
            </w:r>
          </w:p>
        </w:tc>
        <w:tc>
          <w:tcPr>
            <w:tcW w:type="dxa" w:w="2268"/>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c>
          <w:tcPr>
            <w:tcW w:type="dxa" w:w="4309"/>
            <w:shd w:fill="FFFFFF"/>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Parcours principal sans blocage</w:t>
            </w:r>
          </w:p>
        </w:tc>
      </w:tr>
      <w:tr>
        <w:trPr>
          <w:cantSplit/>
        </w:trPr>
        <w:tc>
          <w:tcPr>
            <w:tcW w:type="dxa" w:w="3515"/>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Export et attestation</w:t>
            </w:r>
          </w:p>
        </w:tc>
        <w:tc>
          <w:tcPr>
            <w:tcW w:type="dxa" w:w="2268"/>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À renseigner</w:t>
            </w:r>
          </w:p>
        </w:tc>
        <w:tc>
          <w:tcPr>
            <w:tcW w:type="dxa" w:w="4309"/>
            <w:shd w:fill="F3F5F7"/>
            <w:vAlign w:val="top"/>
            <w:tcMar>
              <w:top w:w="80" w:type="dxa"/>
              <w:start w:w="80" w:type="dxa"/>
              <w:bottom w:w="80" w:type="dxa"/>
              <w:end w:w="80" w:type="dxa"/>
            </w:tcMar>
            <w:tcBorders>
              <w:top w:sz="3" w:val="single" w:color="D8E0E7"/>
              <w:left w:sz="3" w:val="single" w:color="D8E0E7"/>
              <w:bottom w:sz="3" w:val="single" w:color="D8E0E7"/>
              <w:right w:sz="3" w:val="single" w:color="D8E0E7"/>
            </w:tcBorders>
          </w:tcPr>
          <w:p>
            <w:pPr>
              <w:spacing w:after="0" w:before="0" w:line="240" w:lineRule="auto"/>
              <w:jc w:val="left"/>
            </w:pPr>
            <w:r/>
            <w:r>
              <w:rPr>
                <w:rFonts w:ascii="Arial" w:hAnsi="Arial"/>
                <w:b w:val="0"/>
                <w:color w:val="1E2A3A"/>
                <w:sz w:val="16"/>
              </w:rPr>
              <w:t>Recette finale requise</w:t>
            </w:r>
          </w:p>
        </w:tc>
      </w:tr>
    </w:tbl>
    <w:p>
      <w:pPr>
        <w:keepNext/>
        <w:spacing w:before="140" w:after="80"/>
        <w:pBdr>
          <w:bottom w:val="single" w:sz="8" w:space="2" w:color="173C66"/>
        </w:pBdr>
      </w:pPr>
      <w:r>
        <w:rPr>
          <w:rFonts w:ascii="Arial" w:hAnsi="Arial"/>
          <w:b/>
          <w:color w:val="173C66"/>
          <w:sz w:val="25"/>
        </w:rPr>
        <w:t>9.2 Conditions minimales avant ouverture publique</w:t>
      </w:r>
    </w:p>
    <w:p>
      <w:pPr>
        <w:pStyle w:val="ListBullet"/>
        <w:spacing w:after="40"/>
        <w:ind w:left="255" w:hanging="102"/>
      </w:pPr>
      <w:r>
        <w:rPr>
          <w:rFonts w:ascii="Arial" w:hAnsi="Arial"/>
          <w:color w:val="1E2A3A"/>
          <w:sz w:val="18"/>
        </w:rPr>
        <w:t>Les huit profils sont exécutés et leurs résultats sont cohérents avec les critères définis.</w:t>
      </w:r>
    </w:p>
    <w:p>
      <w:pPr>
        <w:pStyle w:val="ListBullet"/>
        <w:spacing w:after="40"/>
        <w:ind w:left="255" w:hanging="102"/>
      </w:pPr>
      <w:r>
        <w:rPr>
          <w:rFonts w:ascii="Arial" w:hAnsi="Arial"/>
          <w:color w:val="1E2A3A"/>
          <w:sz w:val="18"/>
        </w:rPr>
        <w:t>Aucune anomalie critique ou majeure susceptible d’affecter la sécurité n’est ouverte.</w:t>
      </w:r>
    </w:p>
    <w:p>
      <w:pPr>
        <w:pStyle w:val="ListBullet"/>
        <w:spacing w:after="40"/>
        <w:ind w:left="255" w:hanging="102"/>
      </w:pPr>
      <w:r>
        <w:rPr>
          <w:rFonts w:ascii="Arial" w:hAnsi="Arial"/>
          <w:color w:val="1E2A3A"/>
          <w:sz w:val="18"/>
        </w:rPr>
        <w:t>Les recommandations sensibles sont validées, reformulées ou retirées conformément au registre des sources.</w:t>
      </w:r>
    </w:p>
    <w:p>
      <w:pPr>
        <w:pStyle w:val="ListBullet"/>
        <w:spacing w:after="40"/>
        <w:ind w:left="255" w:hanging="102"/>
      </w:pPr>
      <w:r>
        <w:rPr>
          <w:rFonts w:ascii="Arial" w:hAnsi="Arial"/>
          <w:color w:val="1E2A3A"/>
          <w:sz w:val="18"/>
        </w:rPr>
        <w:t>L’export PDF, l’attestation, l’effacement local et la compatibilité mobile sont testés.</w:t>
      </w:r>
    </w:p>
    <w:p>
      <w:pPr>
        <w:pStyle w:val="ListBullet"/>
        <w:spacing w:after="40"/>
        <w:ind w:left="255" w:hanging="102"/>
      </w:pPr>
      <w:r>
        <w:rPr>
          <w:rFonts w:ascii="Arial" w:hAnsi="Arial"/>
          <w:color w:val="1E2A3A"/>
          <w:sz w:val="18"/>
        </w:rPr>
        <w:t>Le message de sécurité et les renvois vers les canaux officiels sont visibles.</w:t>
      </w:r>
    </w:p>
    <w:p>
      <w:pPr>
        <w:pStyle w:val="ListBullet"/>
        <w:spacing w:after="40"/>
        <w:ind w:left="255" w:hanging="102"/>
      </w:pPr>
      <w:r>
        <w:rPr>
          <w:rFonts w:ascii="Arial" w:hAnsi="Arial"/>
          <w:color w:val="1E2A3A"/>
          <w:sz w:val="18"/>
        </w:rPr>
        <w:t>Les indicateurs anonymes nécessaires au bilan d’impact sont configurés sans profilage commercial.</w:t>
      </w:r>
    </w:p>
    <w:p>
      <w:pPr>
        <w:keepNext/>
        <w:spacing w:before="140" w:after="80"/>
        <w:pBdr>
          <w:bottom w:val="single" w:sz="8" w:space="2" w:color="173C66"/>
        </w:pBdr>
      </w:pPr>
      <w:r>
        <w:rPr>
          <w:rFonts w:ascii="Arial" w:hAnsi="Arial"/>
          <w:b/>
          <w:color w:val="173C66"/>
          <w:sz w:val="25"/>
        </w:rPr>
        <w:t>9.3 Décision de recette</w:t>
      </w:r>
    </w:p>
    <w:tbl>
      <w:tblPr>
        <w:tblW w:type="auto" w:w="0"/>
        <w:jc w:val="center"/>
        <w:tblLayout w:type="fixed"/>
        <w:tblLook w:firstColumn="1" w:firstRow="1" w:lastColumn="0" w:lastRow="0" w:noHBand="0" w:noVBand="1" w:val="04A0"/>
      </w:tblPr>
      <w:tblGrid>
        <w:gridCol w:w="2835"/>
        <w:gridCol w:w="7257"/>
      </w:tblGrid>
      <w:tr>
        <w:trPr>
          <w:cantSplit/>
        </w:trPr>
        <w:tc>
          <w:tcPr>
            <w:tcW w:type="dxa" w:w="5074"/>
            <w:shd w:fill="EAF2F7"/>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color w:val="173C66"/>
                <w:sz w:val="17"/>
              </w:rPr>
              <w:t>Décision</w:t>
            </w:r>
          </w:p>
        </w:tc>
        <w:tc>
          <w:tcPr>
            <w:tcW w:type="dxa" w:w="5074"/>
            <w:shd w:fill="FFFFFF"/>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val="0"/>
                <w:color w:val="1E2A3A"/>
                <w:sz w:val="17"/>
              </w:rPr>
              <w:t>☐ Acceptée   ☐ Acceptée avec réserves   ☐ Refusée</w:t>
            </w:r>
          </w:p>
        </w:tc>
      </w:tr>
      <w:tr>
        <w:trPr>
          <w:cantSplit/>
        </w:trPr>
        <w:tc>
          <w:tcPr>
            <w:tcW w:type="dxa" w:w="5074"/>
            <w:shd w:fill="EAF2F7"/>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color w:val="173C66"/>
                <w:sz w:val="17"/>
              </w:rPr>
              <w:t>Réserves éventuelles</w:t>
            </w:r>
          </w:p>
        </w:tc>
        <w:tc>
          <w:tcPr>
            <w:tcW w:type="dxa" w:w="5074"/>
            <w:shd w:fill="FFFFFF"/>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val="0"/>
                <w:color w:val="1E2A3A"/>
                <w:sz w:val="17"/>
              </w:rPr>
            </w:r>
          </w:p>
        </w:tc>
      </w:tr>
      <w:tr>
        <w:trPr>
          <w:cantSplit/>
        </w:trPr>
        <w:tc>
          <w:tcPr>
            <w:tcW w:type="dxa" w:w="5074"/>
            <w:shd w:fill="EAF2F7"/>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color w:val="173C66"/>
                <w:sz w:val="17"/>
              </w:rPr>
              <w:t>Responsable de validation</w:t>
            </w:r>
          </w:p>
        </w:tc>
        <w:tc>
          <w:tcPr>
            <w:tcW w:type="dxa" w:w="5074"/>
            <w:shd w:fill="FFFFFF"/>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val="0"/>
                <w:color w:val="1E2A3A"/>
                <w:sz w:val="17"/>
              </w:rPr>
              <w:t>Mathieu MULLER — GT SAS</w:t>
            </w:r>
          </w:p>
        </w:tc>
      </w:tr>
      <w:tr>
        <w:trPr>
          <w:cantSplit/>
        </w:trPr>
        <w:tc>
          <w:tcPr>
            <w:tcW w:type="dxa" w:w="5074"/>
            <w:shd w:fill="EAF2F7"/>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color w:val="173C66"/>
                <w:sz w:val="17"/>
              </w:rPr>
              <w:t>Date et signature</w:t>
            </w:r>
          </w:p>
        </w:tc>
        <w:tc>
          <w:tcPr>
            <w:tcW w:type="dxa" w:w="5074"/>
            <w:shd w:fill="FFFFFF"/>
            <w:tcBorders>
              <w:top w:sz="4" w:val="single" w:color="D8E0E7"/>
              <w:left w:sz="4" w:val="single" w:color="D8E0E7"/>
              <w:bottom w:sz="4" w:val="single" w:color="D8E0E7"/>
              <w:right w:sz="4" w:val="single" w:color="D8E0E7"/>
            </w:tcBorders>
            <w:tcMar>
              <w:top w:w="110" w:type="dxa"/>
              <w:start w:w="100" w:type="dxa"/>
              <w:bottom w:w="110" w:type="dxa"/>
              <w:end w:w="100" w:type="dxa"/>
            </w:tcMar>
          </w:tcPr>
          <w:p>
            <w:pPr>
              <w:spacing w:after="0" w:before="0" w:line="240" w:lineRule="auto"/>
              <w:jc w:val="left"/>
            </w:pPr>
            <w:r/>
            <w:r>
              <w:rPr>
                <w:rFonts w:ascii="Arial" w:hAnsi="Arial"/>
                <w:b w:val="0"/>
                <w:color w:val="1E2A3A"/>
                <w:sz w:val="17"/>
              </w:rPr>
            </w:r>
          </w:p>
        </w:tc>
      </w:tr>
    </w:tbl>
    <w:tbl>
      <w:tblPr>
        <w:tblW w:type="auto" w:w="0"/>
        <w:jc w:val="center"/>
        <w:tblLayout w:type="fixed"/>
        <w:tblLook w:firstColumn="1" w:firstRow="1" w:lastColumn="0" w:lastRow="0" w:noHBand="0" w:noVBand="1" w:val="04A0"/>
      </w:tblPr>
      <w:tblGrid>
        <w:gridCol w:w="198"/>
        <w:gridCol w:w="9893"/>
      </w:tblGrid>
      <w:tr>
        <w:trPr>
          <w:cantSplit/>
        </w:trPr>
        <w:tc>
          <w:tcPr>
            <w:tcW w:type="dxa" w:w="5074"/>
            <w:shd w:fill="159B89"/>
            <w:tcMar>
              <w:top w:w="100" w:type="dxa"/>
              <w:start w:w="0" w:type="dxa"/>
              <w:bottom w:w="100" w:type="dxa"/>
              <w:end w:w="0" w:type="dxa"/>
            </w:tcMar>
          </w:tcPr>
          <w:p/>
        </w:tc>
        <w:tc>
          <w:tcPr>
            <w:tcW w:type="dxa" w:w="5074"/>
            <w:shd w:fill="E8F5F2"/>
            <w:tcMar>
              <w:top w:w="110" w:type="dxa"/>
              <w:start w:w="150" w:type="dxa"/>
              <w:bottom w:w="110" w:type="dxa"/>
              <w:end w:w="150" w:type="dxa"/>
            </w:tcMar>
          </w:tcPr>
          <w:p>
            <w:pPr>
              <w:spacing w:after="40"/>
            </w:pPr>
            <w:r/>
            <w:r>
              <w:rPr>
                <w:rFonts w:ascii="Arial" w:hAnsi="Arial"/>
                <w:b/>
                <w:color w:val="173C66"/>
                <w:sz w:val="20"/>
              </w:rPr>
              <w:t>Conclusion à ce stade</w:t>
            </w:r>
          </w:p>
          <w:p>
            <w:pPr>
              <w:spacing w:after="0"/>
            </w:pPr>
            <w:r>
              <w:rPr>
                <w:rFonts w:ascii="Arial" w:hAnsi="Arial"/>
                <w:color w:val="1E2A3A"/>
                <w:sz w:val="17"/>
              </w:rPr>
              <w:t>Le prototype dispose d’un socle documenté et visible. Le présent rapport ne déclare pas encore la recette achevée : il fournit la méthode, les critères et les scénarios permettant de produire une preuve objective et sincère de la cohérence du diagnostic avant l’ouverture publique.</w:t>
            </w:r>
          </w:p>
        </w:tc>
      </w:tr>
    </w:tbl>
    <w:p>
      <w:pPr>
        <w:keepNext/>
        <w:spacing w:before="140" w:after="80"/>
        <w:pBdr>
          <w:bottom w:val="single" w:sz="8" w:space="2" w:color="173C66"/>
        </w:pBdr>
      </w:pPr>
      <w:r>
        <w:rPr>
          <w:rFonts w:ascii="Arial" w:hAnsi="Arial"/>
          <w:b/>
          <w:color w:val="173C66"/>
          <w:sz w:val="25"/>
        </w:rPr>
        <w:t>Contact projet</w:t>
      </w:r>
    </w:p>
    <w:p>
      <w:pPr>
        <w:spacing w:after="20"/>
      </w:pPr>
      <w:r>
        <w:rPr>
          <w:rFonts w:ascii="Arial" w:hAnsi="Arial"/>
          <w:b/>
          <w:color w:val="173C66"/>
          <w:sz w:val="19"/>
        </w:rPr>
        <w:t>Mathieu MULLER — GT SAS</w:t>
      </w:r>
    </w:p>
    <w:p>
      <w:pPr>
        <w:spacing w:after="20"/>
      </w:pPr>
      <w:r>
        <w:t>natam.business@gmail.com  |  06 22 98 00 16</w:t>
      </w:r>
    </w:p>
    <w:p>
      <w:pPr>
        <w:spacing w:after="0"/>
      </w:pPr>
      <w:hyperlink r:id="rId11">
        <w:r>
          <w:rPr>
            <w:color w:val="0B7165"/>
            <w:u w:val="single"/>
            <w:rFonts w:ascii="Arial" w:hAnsi="Arial"/>
          </w:rPr>
          <w:t>https://resilience-976.netlify.app/</w:t>
        </w:r>
      </w:hyperlink>
    </w:p>
    <w:sectPr w:rsidR="00FC693F" w:rsidRPr="0006063C" w:rsidSect="00034616">
      <w:headerReference w:type="default" r:id="rId9"/>
      <w:footerReference w:type="default" r:id="rId10"/>
      <w:pgSz w:w="11906" w:h="16838"/>
      <w:pgMar w:top="822" w:right="879" w:bottom="822"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288"/>
      <w:gridCol w:w="3288"/>
      <w:gridCol w:w="3288"/>
    </w:tblGrid>
    <w:tr>
      <w:tc>
        <w:tcPr>
          <w:tcW w:type="dxa" w:w="3383"/>
        </w:tcPr>
        <w:p>
          <w:pPr>
            <w:spacing w:after="0" w:before="0" w:line="240" w:lineRule="auto"/>
            <w:jc w:val="left"/>
          </w:pPr>
          <w:r/>
          <w:r>
            <w:rPr>
              <w:rFonts w:ascii="Arial" w:hAnsi="Arial"/>
              <w:b/>
              <w:color w:val="667085"/>
              <w:sz w:val="15"/>
            </w:rPr>
            <w:t>GT SAS</w:t>
          </w:r>
        </w:p>
      </w:tc>
      <w:tc>
        <w:tcPr>
          <w:tcW w:type="dxa" w:w="3383"/>
        </w:tcPr>
        <w:p>
          <w:pPr>
            <w:spacing w:after="0" w:before="0" w:line="240" w:lineRule="auto"/>
            <w:jc w:val="center"/>
          </w:pPr>
          <w:r/>
          <w:r>
            <w:rPr>
              <w:rFonts w:ascii="Arial" w:hAnsi="Arial"/>
              <w:b w:val="0"/>
              <w:color w:val="667085"/>
              <w:sz w:val="15"/>
            </w:rPr>
            <w:t>JNR 2026</w:t>
          </w:r>
        </w:p>
      </w:tc>
      <w:tc>
        <w:tcPr>
          <w:tcW w:type="dxa" w:w="3383"/>
        </w:tcPr>
        <w:p>
          <w:pPr>
            <w:spacing w:after="0"/>
            <w:jc w:val="right"/>
          </w:pPr>
          <w:r>
            <w:rPr>
              <w:rFonts w:ascii="Arial" w:hAnsi="Arial"/>
              <w:color w:val="667085"/>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667085"/>
        <w:sz w:val="15"/>
      </w:rPr>
      <w:t>MON PLAN RÉSILIENCE 976  |  RAPPORT DE TESTS JNR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E2A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73C66"/>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B716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3C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C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silience-976.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tests du diagnostic et des restitutions - Mon Plan Résilience 976</dc:title>
  <dc:subject>Journée nationale de la résilience 2026 - Annexe 05</dc:subject>
  <dc:creator>GT SAS</dc:creator>
  <cp:keywords>JNR 2026, Mayotte, résilience, diagnostic, tests, recette</cp:keywords>
  <dc:description>generated by python-docx</dc:description>
  <cp:lastModifiedBy/>
  <cp:revision>1</cp:revision>
  <dcterms:created xsi:type="dcterms:W3CDTF">2013-12-23T23:15:00Z</dcterms:created>
  <dcterms:modified xsi:type="dcterms:W3CDTF">2013-12-23T23:15:00Z</dcterms:modified>
  <cp:category/>
</cp:coreProperties>
</file>