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375"/>
      </w:tblGrid>
      <w:tr>
        <w:tc>
          <w:tcPr>
            <w:tcW w:type="dxa" w:w="10376"/>
            <w:shd w:fill="0B2D4F"/>
            <w:tcMar>
              <w:top w:w="230" w:type="dxa"/>
              <w:start w:w="260" w:type="dxa"/>
              <w:bottom w:w="240" w:type="dxa"/>
              <w:end w:w="260" w:type="dxa"/>
            </w:tcMar>
          </w:tcPr>
          <w:p>
            <w:pPr>
              <w:spacing w:before="0" w:after="40" w:line="240" w:lineRule="auto"/>
            </w:pPr>
            <w:r>
              <w:rPr>
                <w:rFonts w:ascii="Arial" w:hAnsi="Arial" w:eastAsia="Arial"/>
                <w:b/>
                <w:i w:val="0"/>
                <w:color w:val="FFFFFF"/>
                <w:sz w:val="56"/>
              </w:rPr>
              <w:t>MON PLAN</w:t>
            </w:r>
          </w:p>
          <w:p>
            <w:pPr>
              <w:spacing w:before="0" w:after="100" w:line="240" w:lineRule="auto"/>
            </w:pPr>
            <w:r>
              <w:rPr>
                <w:rFonts w:ascii="Arial" w:hAnsi="Arial" w:eastAsia="Arial"/>
                <w:b/>
                <w:i w:val="0"/>
                <w:color w:val="FFFFFF"/>
                <w:sz w:val="56"/>
              </w:rPr>
              <w:t>RÉSILIENCE 976</w:t>
            </w:r>
          </w:p>
          <w:p>
            <w:pPr>
              <w:spacing w:before="40" w:after="0" w:line="240" w:lineRule="auto"/>
            </w:pPr>
            <w:r>
              <w:rPr>
                <w:rFonts w:ascii="Arial" w:hAnsi="Arial" w:eastAsia="Arial"/>
                <w:b/>
                <w:i w:val="0"/>
                <w:color w:val="6FE3D2"/>
                <w:sz w:val="26"/>
              </w:rPr>
              <w:t>DISPOSITIF DE MESURE STATISTIQUE</w:t>
            </w:r>
          </w:p>
          <w:p>
            <w:pPr>
              <w:spacing w:before="0" w:after="0" w:line="240" w:lineRule="auto"/>
            </w:pPr>
            <w:r>
              <w:rPr>
                <w:rFonts w:ascii="Arial" w:hAnsi="Arial" w:eastAsia="Arial"/>
                <w:b/>
                <w:i w:val="0"/>
                <w:color w:val="6FE3D2"/>
                <w:sz w:val="26"/>
              </w:rPr>
              <w:t>ET TABLEAU DE BORD D’IMPACT</w:t>
            </w:r>
          </w:p>
        </w:tc>
      </w:tr>
    </w:tbl>
    <w:p>
      <w:pPr>
        <w:spacing w:after="60"/>
      </w:pPr>
    </w:p>
    <w:tbl>
      <w:tblPr>
        <w:tblW w:type="auto" w:w="0"/>
        <w:tblLayout w:type="fixed"/>
        <w:tblLook w:firstColumn="1" w:firstRow="1" w:lastColumn="0" w:lastRow="0" w:noHBand="0" w:noVBand="1" w:val="04A0"/>
      </w:tblPr>
      <w:tblGrid>
        <w:gridCol w:w="6973"/>
        <w:gridCol w:w="3288"/>
      </w:tblGrid>
      <w:tr>
        <w:tc>
          <w:tcPr>
            <w:tcW w:type="dxa" w:w="5188"/>
            <w:shd w:fill="EDF4FA"/>
            <w:tcMar>
              <w:top w:w="180" w:type="dxa"/>
              <w:start w:w="180" w:type="dxa"/>
              <w:bottom w:w="180" w:type="dxa"/>
              <w:end w:w="180" w:type="dxa"/>
            </w:tcMar>
          </w:tcPr>
          <w:p>
            <w:r>
              <w:rPr>
                <w:rFonts w:ascii="Arial" w:hAnsi="Arial" w:eastAsia="Arial"/>
                <w:b/>
                <w:i w:val="0"/>
                <w:color w:val="0B2D4F"/>
                <w:sz w:val="28"/>
              </w:rPr>
              <w:t>Transformer l’usage de la plateforme en preuves vérifiables</w:t>
            </w:r>
          </w:p>
          <w:p>
            <w:pPr>
              <w:spacing w:before="120" w:after="80" w:line="269" w:lineRule="auto"/>
            </w:pPr>
            <w:r>
              <w:rPr>
                <w:rFonts w:ascii="Arial" w:hAnsi="Arial" w:eastAsia="Arial"/>
                <w:b w:val="0"/>
                <w:i w:val="0"/>
                <w:color w:val="13253A"/>
                <w:sz w:val="20"/>
              </w:rPr>
              <w:t>Cette pièce définit les indicateurs, événements, règles de comptage, campagnes partenaires et contrôles nécessaires pour suivre l’objectif de 5 000 personnes sensibilisées sans collecter de données nominatives inutiles.</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Une personne touchée doit avoir commencé un parcours</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Une page vue seule ne constitue pas une sensibilisation</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Les résultats sont agrégés et attribuables aux campagnes</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Les limites techniques et les risques de double comptage sont documentés</w:t>
            </w:r>
          </w:p>
        </w:tc>
        <w:tc>
          <w:tcPr>
            <w:tcW w:type="dxa" w:w="5188"/>
            <w:shd w:fill="FFF3E5"/>
            <w:tcMar>
              <w:top w:w="150" w:type="dxa"/>
              <w:start w:w="140" w:type="dxa"/>
              <w:bottom w:w="150" w:type="dxa"/>
              <w:end w:w="140" w:type="dxa"/>
            </w:tcMar>
          </w:tcPr>
          <w:p>
            <w:pPr>
              <w:jc w:val="center"/>
            </w:pPr>
            <w:r>
              <w:rPr>
                <w:rFonts w:ascii="Arial" w:hAnsi="Arial" w:eastAsia="Arial"/>
                <w:b/>
                <w:i w:val="0"/>
                <w:color w:val="F28C28"/>
                <w:sz w:val="22"/>
              </w:rPr>
              <w:t>SPÉCIFICATION</w:t>
            </w:r>
          </w:p>
          <w:p>
            <w:pPr>
              <w:spacing w:before="160" w:after="80" w:line="252" w:lineRule="auto"/>
              <w:jc w:val="center"/>
            </w:pPr>
            <w:r>
              <w:rPr>
                <w:rFonts w:ascii="Arial" w:hAnsi="Arial" w:eastAsia="Arial"/>
                <w:b/>
                <w:i w:val="0"/>
                <w:color w:val="13253A"/>
                <w:sz w:val="18"/>
              </w:rPr>
              <w:t>Le plan de mesure est défini. Son instrumentation technique et sa recette restent à finaliser avant l’ouverture publique.</w:t>
            </w:r>
          </w:p>
          <w:p>
            <w:pPr>
              <w:spacing w:before="160" w:after="0" w:line="240" w:lineRule="auto"/>
              <w:jc w:val="center"/>
            </w:pPr>
            <w:r>
              <w:rPr>
                <w:rFonts w:ascii="Arial" w:hAnsi="Arial" w:eastAsia="Arial"/>
                <w:b w:val="0"/>
                <w:i/>
                <w:color w:val="C64242"/>
                <w:sz w:val="17"/>
              </w:rPr>
              <w:t>Aucune donnée réelle d’audience n’est inventée dans ce document.</w:t>
            </w:r>
          </w:p>
        </w:tc>
      </w:tr>
    </w:tbl>
    <w:p>
      <w:pPr>
        <w:spacing w:before="360" w:after="60" w:line="240" w:lineRule="auto"/>
        <w:jc w:val="center"/>
      </w:pPr>
      <w:r>
        <w:rPr>
          <w:rFonts w:ascii="Arial" w:hAnsi="Arial" w:eastAsia="Arial"/>
          <w:b/>
          <w:i w:val="0"/>
          <w:color w:val="0B2D4F"/>
          <w:sz w:val="20"/>
        </w:rPr>
        <w:t>Pièce complémentaire n° 09 - Journée nationale de la résilience 2026</w:t>
      </w:r>
    </w:p>
    <w:p>
      <w:pPr>
        <w:spacing w:before="0" w:after="40" w:line="240" w:lineRule="auto"/>
        <w:jc w:val="center"/>
      </w:pPr>
      <w:r>
        <w:rPr>
          <w:rFonts w:ascii="Arial" w:hAnsi="Arial" w:eastAsia="Arial"/>
          <w:b w:val="0"/>
          <w:i w:val="0"/>
          <w:color w:val="5F6B76"/>
          <w:sz w:val="17"/>
        </w:rPr>
        <w:t>Porteur : GT SAS  |  Responsable : Mathieu MULLER  |  Territoire : Mayotte (976)</w:t>
      </w:r>
    </w:p>
    <w:p>
      <w:pPr>
        <w:spacing w:before="0" w:after="0" w:line="240" w:lineRule="auto"/>
        <w:jc w:val="center"/>
      </w:pPr>
      <w:r>
        <w:rPr>
          <w:rFonts w:ascii="Arial" w:hAnsi="Arial" w:eastAsia="Arial"/>
          <w:b w:val="0"/>
          <w:i/>
          <w:color w:val="5F6B76"/>
          <w:sz w:val="16"/>
        </w:rPr>
        <w:t>Version de travail - 5 août 2026</w:t>
      </w: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1</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6"/>
              </w:rPr>
              <w:t>Finalité et principes de mesure</w:t>
            </w:r>
          </w:p>
          <w:p>
            <w:pPr>
              <w:spacing w:before="40" w:after="0" w:line="240" w:lineRule="auto"/>
            </w:pPr>
            <w:r>
              <w:rPr>
                <w:rFonts w:ascii="Arial" w:hAnsi="Arial" w:eastAsia="Arial"/>
                <w:b w:val="0"/>
                <w:i w:val="0"/>
                <w:color w:val="D8E7F2"/>
                <w:sz w:val="17"/>
              </w:rPr>
              <w:t>Mesurer l’engagement réel, pas uniquement la fréquentation</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Objet de la pièce</w:t>
      </w:r>
    </w:p>
    <w:p>
      <w:pPr>
        <w:spacing w:before="0" w:after="100" w:line="264" w:lineRule="auto"/>
      </w:pPr>
      <w:r>
        <w:rPr>
          <w:rFonts w:ascii="Arial" w:hAnsi="Arial" w:eastAsia="Arial"/>
          <w:b w:val="0"/>
          <w:i w:val="0"/>
          <w:color w:val="13253A"/>
          <w:sz w:val="19"/>
        </w:rPr>
        <w:t>Cette pièce traduit en règles techniques la méthode d’impact décrite dans le dossier principal, l’annexe de conformité et le plan de diffusion. Elle précise comment GT SAS pourra produire un bilan chiffré fiable, compréhensible par le jury et respectueux du principe de minimisation des données.</w:t>
      </w:r>
    </w:p>
    <w:tbl>
      <w:tblPr>
        <w:tblW w:type="auto" w:w="0"/>
        <w:jc w:val="center"/>
        <w:tblLayout w:type="fixed"/>
        <w:tblLook w:firstColumn="1" w:firstRow="1" w:lastColumn="0" w:lastRow="0" w:noHBand="0" w:noVBand="1" w:val="04A0"/>
      </w:tblPr>
      <w:tblGrid>
        <w:gridCol w:w="198"/>
        <w:gridCol w:w="10035"/>
      </w:tblGrid>
      <w:tr>
        <w:tc>
          <w:tcPr>
            <w:tcW w:type="dxa" w:w="5188"/>
            <w:shd w:fill="008A7A"/>
            <w:tcMar>
              <w:top w:w="60" w:type="dxa"/>
              <w:start w:w="40" w:type="dxa"/>
              <w:bottom w:w="60" w:type="dxa"/>
              <w:end w:w="40" w:type="dxa"/>
            </w:tcMar>
          </w:tcPr>
          <w:p/>
        </w:tc>
        <w:tc>
          <w:tcPr>
            <w:tcW w:type="dxa" w:w="5188"/>
            <w:shd w:fill="EEF7F6"/>
            <w:tcMar>
              <w:top w:w="105" w:type="dxa"/>
              <w:start w:w="150" w:type="dxa"/>
              <w:bottom w:w="105" w:type="dxa"/>
              <w:end w:w="150" w:type="dxa"/>
            </w:tcMar>
          </w:tcPr>
          <w:p>
            <w:pPr>
              <w:spacing w:before="0" w:after="20" w:line="240" w:lineRule="auto"/>
            </w:pPr>
            <w:r>
              <w:rPr>
                <w:rFonts w:ascii="Arial" w:hAnsi="Arial" w:eastAsia="Arial"/>
                <w:b/>
                <w:i w:val="0"/>
                <w:color w:val="008A7A"/>
                <w:sz w:val="20"/>
              </w:rPr>
              <w:t>Indicateur principal</w:t>
            </w:r>
          </w:p>
          <w:p>
            <w:pPr>
              <w:spacing w:before="0" w:after="0" w:line="257" w:lineRule="auto"/>
            </w:pPr>
            <w:r>
              <w:rPr>
                <w:rFonts w:ascii="Arial" w:hAnsi="Arial" w:eastAsia="Arial"/>
                <w:b w:val="0"/>
                <w:i w:val="0"/>
                <w:color w:val="13253A"/>
                <w:sz w:val="18"/>
              </w:rPr>
              <w:t>Une personne touchée correspond à un visiteur unique ayant commencé au moins un parcours de sensibilisation : diagnostic, quiz, micro-formation ou mise en situation. Une simple consultation de la page d’accueil n’est pas comptée.</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Sept principes directeurs</w:t>
      </w:r>
    </w:p>
    <w:tbl>
      <w:tblPr>
        <w:tblW w:type="auto" w:w="0"/>
        <w:jc w:val="center"/>
        <w:tblLayout w:type="fixed"/>
        <w:tblLook w:firstColumn="1" w:firstRow="1" w:lastColumn="0" w:lastRow="0" w:noHBand="0" w:noVBand="1" w:val="04A0"/>
      </w:tblPr>
      <w:tblGrid>
        <w:gridCol w:w="5188"/>
        <w:gridCol w:w="5188"/>
      </w:tblGrid>
      <w:tr>
        <w:trPr>
          <w:trHeight w:hRule="atLeast"/>
          <w:tblHeader w:val="true"/>
        </w:trPr>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Principe</w:t>
            </w:r>
          </w:p>
        </w:tc>
        <w:tc>
          <w:tcPr>
            <w:tcW w:type="dxa" w:w="776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Traduction opérationnelle</w:t>
            </w:r>
          </w:p>
        </w:tc>
      </w:tr>
      <w:tr>
        <w:trPr>
          <w:trHeight w:hRule="atLeast"/>
        </w:trPr>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Engagement vérifiable</w:t>
            </w:r>
          </w:p>
        </w:tc>
        <w:tc>
          <w:tcPr>
            <w:tcW w:type="dxa" w:w="776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Un événement de démarrage de parcours est nécessaire pour entrer dans l’indicateur principal.</w:t>
            </w:r>
          </w:p>
        </w:tc>
      </w:tr>
      <w:tr>
        <w:trPr>
          <w:trHeight w:hRule="atLeast"/>
        </w:trPr>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Comptage prudent</w:t>
            </w:r>
          </w:p>
        </w:tc>
        <w:tc>
          <w:tcPr>
            <w:tcW w:type="dxa" w:w="776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Le tableau de bord distingue les personnes engagées, les parcours terminés et les livrables générés.</w:t>
            </w:r>
          </w:p>
        </w:tc>
      </w:tr>
      <w:tr>
        <w:trPr>
          <w:trHeight w:hRule="atLeast"/>
        </w:trPr>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Absence de données nominatives</w:t>
            </w:r>
          </w:p>
        </w:tc>
        <w:tc>
          <w:tcPr>
            <w:tcW w:type="dxa" w:w="776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Le suivi n’exige ni nom, ni courriel, ni adresse précise, ni détail médical.</w:t>
            </w:r>
          </w:p>
        </w:tc>
      </w:tr>
      <w:tr>
        <w:trPr>
          <w:trHeight w:hRule="atLeast"/>
        </w:trPr>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Traçabilité des campagnes</w:t>
            </w:r>
          </w:p>
        </w:tc>
        <w:tc>
          <w:tcPr>
            <w:tcW w:type="dxa" w:w="776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Chaque QR code ou lien partenaire peut porter un identifiant de campagne non nominatif.</w:t>
            </w:r>
          </w:p>
        </w:tc>
      </w:tr>
      <w:tr>
        <w:trPr>
          <w:trHeight w:hRule="atLeast"/>
        </w:trPr>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Auditabilité</w:t>
            </w:r>
          </w:p>
        </w:tc>
        <w:tc>
          <w:tcPr>
            <w:tcW w:type="dxa" w:w="776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Les définitions, filtres, dates d’extraction et corrections sont conservés dans un journal de pilotage.</w:t>
            </w:r>
          </w:p>
        </w:tc>
      </w:tr>
      <w:tr>
        <w:trPr>
          <w:trHeight w:hRule="atLeast"/>
        </w:trPr>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Transparence des limites</w:t>
            </w:r>
          </w:p>
        </w:tc>
        <w:tc>
          <w:tcPr>
            <w:tcW w:type="dxa" w:w="776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Un visiteur unique est une estimation technique par navigateur/appareil, pas une identité certaine.</w:t>
            </w:r>
          </w:p>
        </w:tc>
      </w:tr>
      <w:tr>
        <w:trPr>
          <w:trHeight w:hRule="atLeast"/>
        </w:trPr>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Utilité opérationnelle</w:t>
            </w:r>
          </w:p>
        </w:tc>
        <w:tc>
          <w:tcPr>
            <w:tcW w:type="dxa" w:w="776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Les indicateurs servent à améliorer le parcours, les contenus et la diffusion, pas au profilage commercial.</w:t>
            </w:r>
          </w:p>
        </w:tc>
      </w:tr>
    </w:tbl>
    <w:p>
      <w:pPr>
        <w:spacing w:before="120" w:after="60" w:line="240" w:lineRule="auto"/>
      </w:pPr>
      <w:r>
        <w:rPr>
          <w:rFonts w:ascii="Arial" w:hAnsi="Arial" w:eastAsia="Arial"/>
          <w:b/>
          <w:i w:val="0"/>
          <w:color w:val="008A7A"/>
          <w:sz w:val="22"/>
        </w:rPr>
        <w:t>Niveaux de lecture</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94"/>
            <w:shd w:fill="F4F8FA"/>
            <w:tcMar>
              <w:top w:w="100" w:type="dxa"/>
              <w:start w:w="80" w:type="dxa"/>
              <w:bottom w:w="100" w:type="dxa"/>
              <w:end w:w="80" w:type="dxa"/>
            </w:tcMar>
            <w:tcBorders>
              <w:top w:val="single" w:sz="7" w:color="008A7A"/>
              <w:bottom w:val="single" w:sz="4" w:color="D6E1E8"/>
              <w:left w:val="single" w:sz="4" w:color="D6E1E8"/>
              <w:right w:val="single" w:sz="4" w:color="D6E1E8"/>
            </w:tcBorders>
          </w:tcPr>
          <w:p>
            <w:pPr>
              <w:jc w:val="center"/>
            </w:pPr>
            <w:r>
              <w:rPr>
                <w:rFonts w:ascii="Arial" w:hAnsi="Arial" w:eastAsia="Arial"/>
                <w:b/>
                <w:i w:val="0"/>
                <w:color w:val="5F6B76"/>
                <w:sz w:val="15"/>
              </w:rPr>
              <w:t>AUDIENCE</w:t>
            </w:r>
          </w:p>
          <w:p>
            <w:pPr>
              <w:spacing w:before="80" w:after="20" w:line="240" w:lineRule="auto"/>
              <w:jc w:val="center"/>
            </w:pPr>
            <w:r>
              <w:rPr>
                <w:rFonts w:ascii="Arial" w:hAnsi="Arial" w:eastAsia="Arial"/>
                <w:b/>
                <w:i w:val="0"/>
                <w:color w:val="008A7A"/>
                <w:sz w:val="34"/>
              </w:rPr>
              <w:t>Qui commence ?</w:t>
            </w:r>
          </w:p>
          <w:p>
            <w:pPr>
              <w:spacing w:before="0" w:after="0" w:line="240" w:lineRule="auto"/>
              <w:jc w:val="center"/>
            </w:pPr>
            <w:r>
              <w:rPr>
                <w:rFonts w:ascii="Arial" w:hAnsi="Arial" w:eastAsia="Arial"/>
                <w:b w:val="0"/>
                <w:i w:val="0"/>
                <w:color w:val="13253A"/>
                <w:sz w:val="14"/>
              </w:rPr>
              <w:t>Engagement</w:t>
            </w:r>
          </w:p>
        </w:tc>
        <w:tc>
          <w:tcPr>
            <w:tcW w:type="dxa" w:w="2594"/>
            <w:shd w:fill="F4F8FA"/>
            <w:tcMar>
              <w:top w:w="100" w:type="dxa"/>
              <w:start w:w="80" w:type="dxa"/>
              <w:bottom w:w="100" w:type="dxa"/>
              <w:end w:w="80" w:type="dxa"/>
            </w:tcMar>
            <w:tcBorders>
              <w:top w:val="single" w:sz="7" w:color="18A999"/>
              <w:bottom w:val="single" w:sz="4" w:color="D6E1E8"/>
              <w:left w:val="single" w:sz="4" w:color="D6E1E8"/>
              <w:right w:val="single" w:sz="4" w:color="D6E1E8"/>
            </w:tcBorders>
          </w:tcPr>
          <w:p>
            <w:pPr>
              <w:jc w:val="center"/>
            </w:pPr>
            <w:r>
              <w:rPr>
                <w:rFonts w:ascii="Arial" w:hAnsi="Arial" w:eastAsia="Arial"/>
                <w:b/>
                <w:i w:val="0"/>
                <w:color w:val="5F6B76"/>
                <w:sz w:val="15"/>
              </w:rPr>
              <w:t>COMPLÉTION</w:t>
            </w:r>
          </w:p>
          <w:p>
            <w:pPr>
              <w:spacing w:before="80" w:after="20" w:line="240" w:lineRule="auto"/>
              <w:jc w:val="center"/>
            </w:pPr>
            <w:r>
              <w:rPr>
                <w:rFonts w:ascii="Arial" w:hAnsi="Arial" w:eastAsia="Arial"/>
                <w:b/>
                <w:i w:val="0"/>
                <w:color w:val="18A999"/>
                <w:sz w:val="34"/>
              </w:rPr>
              <w:t>Qui termine ?</w:t>
            </w:r>
          </w:p>
          <w:p>
            <w:pPr>
              <w:spacing w:before="0" w:after="0" w:line="240" w:lineRule="auto"/>
              <w:jc w:val="center"/>
            </w:pPr>
            <w:r>
              <w:rPr>
                <w:rFonts w:ascii="Arial" w:hAnsi="Arial" w:eastAsia="Arial"/>
                <w:b w:val="0"/>
                <w:i w:val="0"/>
                <w:color w:val="13253A"/>
                <w:sz w:val="14"/>
              </w:rPr>
              <w:t>Parcours</w:t>
            </w:r>
          </w:p>
        </w:tc>
        <w:tc>
          <w:tcPr>
            <w:tcW w:type="dxa" w:w="2594"/>
            <w:shd w:fill="F4F8FA"/>
            <w:tcMar>
              <w:top w:w="100" w:type="dxa"/>
              <w:start w:w="80" w:type="dxa"/>
              <w:bottom w:w="100" w:type="dxa"/>
              <w:end w:w="80" w:type="dxa"/>
            </w:tcMar>
            <w:tcBorders>
              <w:top w:val="single" w:sz="7" w:color="F28C28"/>
              <w:bottom w:val="single" w:sz="4" w:color="D6E1E8"/>
              <w:left w:val="single" w:sz="4" w:color="D6E1E8"/>
              <w:right w:val="single" w:sz="4" w:color="D6E1E8"/>
            </w:tcBorders>
          </w:tcPr>
          <w:p>
            <w:pPr>
              <w:jc w:val="center"/>
            </w:pPr>
            <w:r>
              <w:rPr>
                <w:rFonts w:ascii="Arial" w:hAnsi="Arial" w:eastAsia="Arial"/>
                <w:b/>
                <w:i w:val="0"/>
                <w:color w:val="5F6B76"/>
                <w:sz w:val="15"/>
              </w:rPr>
              <w:t>ACTION</w:t>
            </w:r>
          </w:p>
          <w:p>
            <w:pPr>
              <w:spacing w:before="80" w:after="20" w:line="240" w:lineRule="auto"/>
              <w:jc w:val="center"/>
            </w:pPr>
            <w:r>
              <w:rPr>
                <w:rFonts w:ascii="Arial" w:hAnsi="Arial" w:eastAsia="Arial"/>
                <w:b/>
                <w:i w:val="0"/>
                <w:color w:val="F28C28"/>
                <w:sz w:val="34"/>
              </w:rPr>
              <w:t>Que produit-il ?</w:t>
            </w:r>
          </w:p>
          <w:p>
            <w:pPr>
              <w:spacing w:before="0" w:after="0" w:line="240" w:lineRule="auto"/>
              <w:jc w:val="center"/>
            </w:pPr>
            <w:r>
              <w:rPr>
                <w:rFonts w:ascii="Arial" w:hAnsi="Arial" w:eastAsia="Arial"/>
                <w:b w:val="0"/>
                <w:i w:val="0"/>
                <w:color w:val="13253A"/>
                <w:sz w:val="14"/>
              </w:rPr>
              <w:t>Livrables</w:t>
            </w:r>
          </w:p>
        </w:tc>
        <w:tc>
          <w:tcPr>
            <w:tcW w:type="dxa" w:w="2594"/>
            <w:shd w:fill="F4F8FA"/>
            <w:tcMar>
              <w:top w:w="100" w:type="dxa"/>
              <w:start w:w="80" w:type="dxa"/>
              <w:bottom w:w="100" w:type="dxa"/>
              <w:end w:w="80" w:type="dxa"/>
            </w:tcMar>
            <w:tcBorders>
              <w:top w:val="single" w:sz="7" w:color="0B2D4F"/>
              <w:bottom w:val="single" w:sz="4" w:color="D6E1E8"/>
              <w:left w:val="single" w:sz="4" w:color="D6E1E8"/>
              <w:right w:val="single" w:sz="4" w:color="D6E1E8"/>
            </w:tcBorders>
          </w:tcPr>
          <w:p>
            <w:pPr>
              <w:jc w:val="center"/>
            </w:pPr>
            <w:r>
              <w:rPr>
                <w:rFonts w:ascii="Arial" w:hAnsi="Arial" w:eastAsia="Arial"/>
                <w:b/>
                <w:i w:val="0"/>
                <w:color w:val="5F6B76"/>
                <w:sz w:val="15"/>
              </w:rPr>
              <w:t>QUALITÉ</w:t>
            </w:r>
          </w:p>
          <w:p>
            <w:pPr>
              <w:spacing w:before="80" w:after="20" w:line="240" w:lineRule="auto"/>
              <w:jc w:val="center"/>
            </w:pPr>
            <w:r>
              <w:rPr>
                <w:rFonts w:ascii="Arial" w:hAnsi="Arial" w:eastAsia="Arial"/>
                <w:b/>
                <w:i w:val="0"/>
                <w:color w:val="0B2D4F"/>
                <w:sz w:val="34"/>
              </w:rPr>
              <w:t>Le service tient-il ?</w:t>
            </w:r>
          </w:p>
          <w:p>
            <w:pPr>
              <w:spacing w:before="0" w:after="0" w:line="240" w:lineRule="auto"/>
              <w:jc w:val="center"/>
            </w:pPr>
            <w:r>
              <w:rPr>
                <w:rFonts w:ascii="Arial" w:hAnsi="Arial" w:eastAsia="Arial"/>
                <w:b w:val="0"/>
                <w:i w:val="0"/>
                <w:color w:val="13253A"/>
                <w:sz w:val="14"/>
              </w:rPr>
              <w:t>Fiabilité</w:t>
            </w:r>
          </w:p>
        </w:tc>
      </w:tr>
    </w:tbl>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2</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6"/>
              </w:rPr>
              <w:t>Définitions et règles de comptage</w:t>
            </w:r>
          </w:p>
          <w:p>
            <w:pPr>
              <w:spacing w:before="40" w:after="0" w:line="240" w:lineRule="auto"/>
            </w:pPr>
            <w:r>
              <w:rPr>
                <w:rFonts w:ascii="Arial" w:hAnsi="Arial" w:eastAsia="Arial"/>
                <w:b w:val="0"/>
                <w:i w:val="0"/>
                <w:color w:val="D8E7F2"/>
                <w:sz w:val="17"/>
              </w:rPr>
              <w:t>Éviter les ambiguïtés et documenter les limites</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Dictionnaire des unités de mesure</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Terme</w:t>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Définition</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Usage dans le bilan</w:t>
            </w:r>
          </w:p>
        </w:tc>
      </w:tr>
      <w:tr>
        <w:trPr>
          <w:trHeight w:hRule="atLeast"/>
        </w:trPr>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Visite</w:t>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Ouverture d’une page de la plateforme.</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Information descriptive uniquement ; non comptée comme sensibilisation.</w:t>
            </w:r>
          </w:p>
        </w:tc>
      </w:tr>
      <w:tr>
        <w:trPr>
          <w:trHeight w:hRule="atLeast"/>
        </w:trPr>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Session</w:t>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Suite d’actions rapprochées dans un même navigateur.</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Mesure l’usage, mais peut compter plusieurs fois une même personne.</w:t>
            </w:r>
          </w:p>
        </w:tc>
      </w:tr>
      <w:tr>
        <w:trPr>
          <w:trHeight w:hRule="atLeast"/>
        </w:trPr>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Visiteur engagé unique</w:t>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Navigateur ou appareil identifié anonymement ayant déclenché au moins un démarrage de parcours.</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Indicateur technique utilisé comme approximation d’une personne touchée.</w:t>
            </w:r>
          </w:p>
        </w:tc>
      </w:tr>
      <w:tr>
        <w:trPr>
          <w:trHeight w:hRule="atLeast"/>
        </w:trPr>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Parcours commencé</w:t>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Premier événement d’un diagnostic, quiz, micro-formation ou mise en situation.</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Seuil d’entrée dans l’objectif des 5 000.</w:t>
            </w:r>
          </w:p>
        </w:tc>
      </w:tr>
      <w:tr>
        <w:trPr>
          <w:trHeight w:hRule="atLeast"/>
        </w:trPr>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Parcours terminé</w:t>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Événement de fin accompagné d’un résultat ou d’un écran final.</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Permet le calcul du taux de complétion.</w:t>
            </w:r>
          </w:p>
        </w:tc>
      </w:tr>
      <w:tr>
        <w:trPr>
          <w:trHeight w:hRule="atLeast"/>
        </w:trPr>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Passage à l’action</w:t>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Ouverture ou génération d’un plan, d’une checklist, d’un kit ou d’une attestation.</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Mesure la transformation de l’information en support concret.</w:t>
            </w:r>
          </w:p>
        </w:tc>
      </w:tr>
      <w:tr>
        <w:trPr>
          <w:trHeight w:hRule="atLeast"/>
        </w:trPr>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Campagne</w:t>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Lien ou QR code portant un identifiant attribué à un relais ou un canal.</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Mesure l’apport des structures et supports de diffusion.</w:t>
            </w:r>
          </w:p>
        </w:tc>
      </w:tr>
    </w:tbl>
    <w:p>
      <w:pPr>
        <w:spacing w:before="120" w:after="60" w:line="240" w:lineRule="auto"/>
        <w:pBdr>
          <w:bottom w:val="single" w:sz="10" w:space="2" w:color="008A7A"/>
        </w:pBdr>
      </w:pPr>
      <w:r>
        <w:rPr>
          <w:rFonts w:ascii="Arial" w:hAnsi="Arial" w:eastAsia="Arial"/>
          <w:b/>
          <w:i w:val="0"/>
          <w:color w:val="0B2D4F"/>
          <w:sz w:val="28"/>
        </w:rPr>
        <w:t>Règles proposées de déduplication</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Identifiant anonyme local : </w:t>
      </w:r>
      <w:r>
        <w:rPr>
          <w:rFonts w:ascii="Arial" w:hAnsi="Arial" w:eastAsia="Arial"/>
          <w:b w:val="0"/>
          <w:i w:val="0"/>
          <w:color w:val="13253A"/>
          <w:sz w:val="18"/>
        </w:rPr>
        <w:t>créé dans le navigateur lors de la première interaction, sans identité ni adresse en clair.</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Période de référence : </w:t>
      </w:r>
      <w:r>
        <w:rPr>
          <w:rFonts w:ascii="Arial" w:hAnsi="Arial" w:eastAsia="Arial"/>
          <w:b w:val="0"/>
          <w:i w:val="0"/>
          <w:color w:val="13253A"/>
          <w:sz w:val="18"/>
        </w:rPr>
        <w:t>du 1er septembre au 31 décembre 2026 ; un même identifiant engagé n’est compté qu’une fois dans l’indicateur principal.</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Plusieurs parcours autorisés : </w:t>
      </w:r>
      <w:r>
        <w:rPr>
          <w:rFonts w:ascii="Arial" w:hAnsi="Arial" w:eastAsia="Arial"/>
          <w:b w:val="0"/>
          <w:i w:val="0"/>
          <w:color w:val="13253A"/>
          <w:sz w:val="18"/>
        </w:rPr>
        <w:t>les démarrages et terminaisons sont comptés par module, mais n’augmentent pas le nombre de visiteurs engagés uniques.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Changement d’appareil ou suppression du stockage : </w:t>
      </w:r>
      <w:r>
        <w:rPr>
          <w:rFonts w:ascii="Arial" w:hAnsi="Arial" w:eastAsia="Arial"/>
          <w:b w:val="0"/>
          <w:i w:val="0"/>
          <w:color w:val="13253A"/>
          <w:sz w:val="18"/>
        </w:rPr>
        <w:t>peut créer un nouveau visiteur technique ; cette limite sera indiquée dans le bilan.</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Sessions collectives : </w:t>
      </w:r>
      <w:r>
        <w:rPr>
          <w:rFonts w:ascii="Arial" w:hAnsi="Arial" w:eastAsia="Arial"/>
          <w:b w:val="0"/>
          <w:i w:val="0"/>
          <w:color w:val="13253A"/>
          <w:sz w:val="18"/>
        </w:rPr>
        <w:t>une structure peut utiliser un QR code de campagne ; le nombre de navigateurs engagés reste la mesure de référence, complétée si nécessaire par un relevé agrégé de séance.</w:t>
      </w:r>
    </w:p>
    <w:tbl>
      <w:tblPr>
        <w:tblW w:type="auto" w:w="0"/>
        <w:jc w:val="center"/>
        <w:tblLayout w:type="fixed"/>
        <w:tblLook w:firstColumn="1" w:firstRow="1" w:lastColumn="0" w:lastRow="0" w:noHBand="0" w:noVBand="1" w:val="04A0"/>
      </w:tblPr>
      <w:tblGrid>
        <w:gridCol w:w="198"/>
        <w:gridCol w:w="10035"/>
      </w:tblGrid>
      <w:tr>
        <w:tc>
          <w:tcPr>
            <w:tcW w:type="dxa" w:w="5188"/>
            <w:shd w:fill="F28C28"/>
            <w:tcMar>
              <w:top w:w="60" w:type="dxa"/>
              <w:start w:w="40" w:type="dxa"/>
              <w:bottom w:w="60" w:type="dxa"/>
              <w:end w:w="40" w:type="dxa"/>
            </w:tcMar>
          </w:tcPr>
          <w:p/>
        </w:tc>
        <w:tc>
          <w:tcPr>
            <w:tcW w:type="dxa" w:w="5188"/>
            <w:shd w:fill="FFF3E5"/>
            <w:tcMar>
              <w:top w:w="105" w:type="dxa"/>
              <w:start w:w="150" w:type="dxa"/>
              <w:bottom w:w="105" w:type="dxa"/>
              <w:end w:w="150" w:type="dxa"/>
            </w:tcMar>
          </w:tcPr>
          <w:p>
            <w:pPr>
              <w:spacing w:before="0" w:after="20" w:line="240" w:lineRule="auto"/>
            </w:pPr>
            <w:r>
              <w:rPr>
                <w:rFonts w:ascii="Arial" w:hAnsi="Arial" w:eastAsia="Arial"/>
                <w:b/>
                <w:i w:val="0"/>
                <w:color w:val="F28C28"/>
                <w:sz w:val="20"/>
              </w:rPr>
              <w:t>Limite méthodologique à assumer</w:t>
            </w:r>
          </w:p>
          <w:p>
            <w:pPr>
              <w:spacing w:before="0" w:after="0" w:line="257" w:lineRule="auto"/>
            </w:pPr>
            <w:r>
              <w:rPr>
                <w:rFonts w:ascii="Arial" w:hAnsi="Arial" w:eastAsia="Arial"/>
                <w:b w:val="0"/>
                <w:i w:val="0"/>
                <w:color w:val="13253A"/>
                <w:sz w:val="18"/>
              </w:rPr>
              <w:t>Sans compte nominatif, il est impossible de garantir qu’un identifiant technique correspond exactement à une personne physique unique. Le bilan parlera de « visiteurs engagés uniques » et expliquera que cet indicateur constitue la meilleure approximation compatible avec le choix d’un accès gratuit, sans inscription.</w:t>
            </w:r>
          </w:p>
        </w:tc>
      </w:tr>
    </w:tbl>
    <w:p>
      <w:pPr>
        <w:spacing w:after="20"/>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3</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6"/>
              </w:rPr>
              <w:t>Plan de marquage des événements</w:t>
            </w:r>
          </w:p>
          <w:p>
            <w:pPr>
              <w:spacing w:before="40" w:after="0" w:line="240" w:lineRule="auto"/>
            </w:pPr>
            <w:r>
              <w:rPr>
                <w:rFonts w:ascii="Arial" w:hAnsi="Arial" w:eastAsia="Arial"/>
                <w:b w:val="0"/>
                <w:i w:val="0"/>
                <w:color w:val="D8E7F2"/>
                <w:sz w:val="17"/>
              </w:rPr>
              <w:t>Collecter uniquement ce qui est nécessaire au pilotage</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Événements prioritaires</w:t>
      </w:r>
    </w:p>
    <w:tbl>
      <w:tblPr>
        <w:tblW w:type="auto" w:w="0"/>
        <w:jc w:val="center"/>
        <w:tblLayout w:type="fixed"/>
        <w:tblLook w:firstColumn="1" w:firstRow="1" w:lastColumn="0" w:lastRow="0" w:noHBand="0" w:noVBand="1" w:val="04A0"/>
      </w:tblPr>
      <w:tblGrid>
        <w:gridCol w:w="2075"/>
        <w:gridCol w:w="2075"/>
        <w:gridCol w:w="2075"/>
        <w:gridCol w:w="2075"/>
        <w:gridCol w:w="2075"/>
      </w:tblGrid>
      <w:tr>
        <w:trPr>
          <w:trHeight w:hRule="atLeast"/>
          <w:tblHeader w:val="true"/>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Événement</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Déclencheur</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Données minimales</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Indicateur alimenté</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Statut</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journey_started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Début d’un diagnostic, quiz, micro-formation ou scénario</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module, campagne, date</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Visiteurs engagés / démarrages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À instrumenter</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journey_completed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Affichage du résultat final</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module, durée, campagne</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Complétion</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À instrumenter</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diagnostic_result_viewed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Consultation du résultat personnalisé</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niveau agrégé, campagne</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Résultats consultés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À instrumenter</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action_plan_opened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Ouverture du plan d’actions</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module, campagne</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Passage à l’action</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À instrumenter</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checklist_opened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Ouverture de la checklist</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campagne</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Passage à l’action</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À instrumenter</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checklist_progress</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Franchissement d’un seuil de progression</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seuil 25/50/75/100 %</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Progression</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Optionnel</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emergency_kit_generated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Génération du kit</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catégorie de foyer agrégée</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Livrables générés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À instrumenter</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pdf_downloaded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Téléchargement d’un PDF</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type de document</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Livrables téléchargés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À instrumenter</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certificate_generated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Génération d’une attestation</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module, sans nom</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Attestations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À instrumenter</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source_opened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Ouverture d’une ressource officielle</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organisme, thème</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Consultation des sources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Optionnel</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feedback_submitted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Envoi d’un retour</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note, catégorie, texte facultatif</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Qualité</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À encadrer</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technical_error</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Erreur bloquante côté interface</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écran, code technique</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Fiabilité</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À instrumenter</w:t>
            </w:r>
          </w:p>
        </w:tc>
      </w:tr>
    </w:tbl>
    <w:p>
      <w:pPr>
        <w:spacing w:before="120" w:after="60" w:line="240" w:lineRule="auto"/>
        <w:pBdr>
          <w:bottom w:val="single" w:sz="10" w:space="2" w:color="008A7A"/>
        </w:pBdr>
      </w:pPr>
      <w:r>
        <w:rPr>
          <w:rFonts w:ascii="Arial" w:hAnsi="Arial" w:eastAsia="Arial"/>
          <w:b/>
          <w:i w:val="0"/>
          <w:color w:val="0B2D4F"/>
          <w:sz w:val="28"/>
        </w:rPr>
        <w:t>Données à ne pas envoyer dans les statistiques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Réponses détaillées au diagnostic ou texte libre décrivant la situation personnelle du foyer.</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Nom, prénom, numéro de téléphone, adresse électronique ou adresse précise.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Donnée de santé détaillée, traitement, pathologie ou justificatif médical.</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Adresse IP conservée en clair, géolocalisation fine ou identifiant publicitaire.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Contenu complet des échanges avec l’assistant documentaire, sauf dispositif séparé et minimisé pour l’analyse des erreurs.</w:t>
      </w:r>
    </w:p>
    <w:tbl>
      <w:tblPr>
        <w:tblW w:type="auto" w:w="0"/>
        <w:jc w:val="center"/>
        <w:tblLayout w:type="fixed"/>
        <w:tblLook w:firstColumn="1" w:firstRow="1" w:lastColumn="0" w:lastRow="0" w:noHBand="0" w:noVBand="1" w:val="04A0"/>
      </w:tblPr>
      <w:tblGrid>
        <w:gridCol w:w="198"/>
        <w:gridCol w:w="10035"/>
      </w:tblGrid>
      <w:tr>
        <w:tc>
          <w:tcPr>
            <w:tcW w:type="dxa" w:w="5188"/>
            <w:shd w:fill="008A7A"/>
            <w:tcMar>
              <w:top w:w="60" w:type="dxa"/>
              <w:start w:w="40" w:type="dxa"/>
              <w:bottom w:w="60" w:type="dxa"/>
              <w:end w:w="40" w:type="dxa"/>
            </w:tcMar>
          </w:tcPr>
          <w:p/>
        </w:tc>
        <w:tc>
          <w:tcPr>
            <w:tcW w:type="dxa" w:w="5188"/>
            <w:shd w:fill="EEF7F6"/>
            <w:tcMar>
              <w:top w:w="105" w:type="dxa"/>
              <w:start w:w="150" w:type="dxa"/>
              <w:bottom w:w="105" w:type="dxa"/>
              <w:end w:w="150" w:type="dxa"/>
            </w:tcMar>
          </w:tcPr>
          <w:p>
            <w:pPr>
              <w:spacing w:before="0" w:after="20" w:line="240" w:lineRule="auto"/>
            </w:pPr>
            <w:r>
              <w:rPr>
                <w:rFonts w:ascii="Arial" w:hAnsi="Arial" w:eastAsia="Arial"/>
                <w:b/>
                <w:i w:val="0"/>
                <w:color w:val="008A7A"/>
                <w:sz w:val="20"/>
              </w:rPr>
              <w:t>Choix prudent</w:t>
            </w:r>
          </w:p>
          <w:p>
            <w:pPr>
              <w:spacing w:before="0" w:after="0" w:line="257" w:lineRule="auto"/>
            </w:pPr>
            <w:r>
              <w:rPr>
                <w:rFonts w:ascii="Arial" w:hAnsi="Arial" w:eastAsia="Arial"/>
                <w:b w:val="0"/>
                <w:i w:val="0"/>
                <w:color w:val="13253A"/>
                <w:sz w:val="18"/>
              </w:rPr>
              <w:t>Pour analyser les scores sans reconstituer la situation d’un foyer, seuls des résultats agrégés peuvent être conservés : tranche de score, module terminé, durée et campagne. Toute collecte plus détaillée devra être justifiée, documentée et testée avant activation.</w:t>
            </w:r>
          </w:p>
        </w:tc>
      </w:tr>
    </w:tbl>
    <w:p>
      <w:pPr>
        <w:spacing w:after="20"/>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4</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6"/>
              </w:rPr>
              <w:t>Campagnes, QR codes et attribution</w:t>
            </w:r>
          </w:p>
          <w:p>
            <w:pPr>
              <w:spacing w:before="40" w:after="0" w:line="240" w:lineRule="auto"/>
            </w:pPr>
            <w:r>
              <w:rPr>
                <w:rFonts w:ascii="Arial" w:hAnsi="Arial" w:eastAsia="Arial"/>
                <w:b w:val="0"/>
                <w:i w:val="0"/>
                <w:color w:val="D8E7F2"/>
                <w:sz w:val="17"/>
              </w:rPr>
              <w:t>Mesurer l’apport des relais sans identifier leurs usagers</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Convention de nommage proposée</w:t>
      </w:r>
    </w:p>
    <w:tbl>
      <w:tblPr>
        <w:tblW w:type="auto" w:w="0"/>
        <w:jc w:val="center"/>
        <w:tblLayout w:type="fixed"/>
        <w:tblLook w:firstColumn="1" w:firstRow="1" w:lastColumn="0" w:lastRow="0" w:noHBand="0" w:noVBand="1" w:val="04A0"/>
      </w:tblPr>
      <w:tblGrid>
        <w:gridCol w:w="198"/>
        <w:gridCol w:w="10035"/>
      </w:tblGrid>
      <w:tr>
        <w:tc>
          <w:tcPr>
            <w:tcW w:type="dxa" w:w="5188"/>
            <w:shd w:fill="008A7A"/>
            <w:tcMar>
              <w:top w:w="60" w:type="dxa"/>
              <w:start w:w="40" w:type="dxa"/>
              <w:bottom w:w="60" w:type="dxa"/>
              <w:end w:w="40" w:type="dxa"/>
            </w:tcMar>
          </w:tcPr>
          <w:p/>
        </w:tc>
        <w:tc>
          <w:tcPr>
            <w:tcW w:type="dxa" w:w="5188"/>
            <w:shd w:fill="EEF7F6"/>
            <w:tcMar>
              <w:top w:w="105" w:type="dxa"/>
              <w:start w:w="150" w:type="dxa"/>
              <w:bottom w:w="105" w:type="dxa"/>
              <w:end w:w="150" w:type="dxa"/>
            </w:tcMar>
          </w:tcPr>
          <w:p>
            <w:pPr>
              <w:spacing w:before="0" w:after="20" w:line="240" w:lineRule="auto"/>
            </w:pPr>
            <w:r>
              <w:rPr>
                <w:rFonts w:ascii="Arial" w:hAnsi="Arial" w:eastAsia="Arial"/>
                <w:b/>
                <w:i w:val="0"/>
                <w:color w:val="008A7A"/>
                <w:sz w:val="20"/>
              </w:rPr>
              <w:t>Format</w:t>
            </w:r>
          </w:p>
          <w:p>
            <w:pPr>
              <w:spacing w:before="0" w:after="0" w:line="257" w:lineRule="auto"/>
            </w:pPr>
            <w:r>
              <w:rPr>
                <w:rFonts w:ascii="Arial" w:hAnsi="Arial" w:eastAsia="Arial"/>
                <w:b w:val="0"/>
                <w:i w:val="0"/>
                <w:color w:val="13253A"/>
                <w:sz w:val="18"/>
              </w:rPr>
              <w:t>MPR976-[TYPE]-[STRUCTURE]-[SUPPORT]-[MOIS] — Exemple : MPR976-ECOLE-KAWENI-AFFICHE-OCT. Le code ne contient aucune information sur une personne et reste stable pendant la campagne.</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Paramètres de campagne</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Paramètre</w:t>
            </w:r>
          </w:p>
        </w:tc>
        <w:tc>
          <w:tcPr>
            <w:tcW w:type="dxa" w:w="408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Finalité</w:t>
            </w:r>
          </w:p>
        </w:tc>
        <w:tc>
          <w:tcPr>
            <w:tcW w:type="dxa" w:w="385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Exemple</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campaign_id</w:t>
            </w:r>
          </w:p>
        </w:tc>
        <w:tc>
          <w:tcPr>
            <w:tcW w:type="dxa" w:w="408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Identifiant unique de la campagne</w:t>
            </w:r>
          </w:p>
        </w:tc>
        <w:tc>
          <w:tcPr>
            <w:tcW w:type="dxa" w:w="385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MPR976-ECOLE-KAWENI-AFFICHE-OCT</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partner_type</w:t>
            </w:r>
          </w:p>
        </w:tc>
        <w:tc>
          <w:tcPr>
            <w:tcW w:type="dxa" w:w="408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Catégorie de relais</w:t>
            </w:r>
          </w:p>
        </w:tc>
        <w:tc>
          <w:tcPr>
            <w:tcW w:type="dxa" w:w="385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ecole, commune, association, entreprise, organisme_public</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partner_code</w:t>
            </w:r>
          </w:p>
        </w:tc>
        <w:tc>
          <w:tcPr>
            <w:tcW w:type="dxa" w:w="408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Code court attribué à la structure</w:t>
            </w:r>
          </w:p>
        </w:tc>
        <w:tc>
          <w:tcPr>
            <w:tcW w:type="dxa" w:w="385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KAWENI01</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channel</w:t>
            </w:r>
          </w:p>
        </w:tc>
        <w:tc>
          <w:tcPr>
            <w:tcW w:type="dxa" w:w="408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Canal de diffusion</w:t>
            </w:r>
          </w:p>
        </w:tc>
        <w:tc>
          <w:tcPr>
            <w:tcW w:type="dxa" w:w="385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qr_affiche, email, intranet, social, evenement</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content</w:t>
            </w:r>
          </w:p>
        </w:tc>
        <w:tc>
          <w:tcPr>
            <w:tcW w:type="dxa" w:w="408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Support ou message utilisé</w:t>
            </w:r>
          </w:p>
        </w:tc>
        <w:tc>
          <w:tcPr>
            <w:tcW w:type="dxa" w:w="385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flyer_lancement, carrousel, diagnostic_direct</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period</w:t>
            </w:r>
          </w:p>
        </w:tc>
        <w:tc>
          <w:tcPr>
            <w:tcW w:type="dxa" w:w="408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Période prévue</w:t>
            </w:r>
          </w:p>
        </w:tc>
        <w:tc>
          <w:tcPr>
            <w:tcW w:type="dxa" w:w="385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2026-10</w:t>
            </w:r>
          </w:p>
        </w:tc>
      </w:tr>
    </w:tbl>
    <w:p>
      <w:pPr>
        <w:spacing w:before="120" w:after="60" w:line="240" w:lineRule="auto"/>
        <w:pBdr>
          <w:bottom w:val="single" w:sz="10" w:space="2" w:color="008A7A"/>
        </w:pBdr>
      </w:pPr>
      <w:r>
        <w:rPr>
          <w:rFonts w:ascii="Arial" w:hAnsi="Arial" w:eastAsia="Arial"/>
          <w:b/>
          <w:i w:val="0"/>
          <w:color w:val="0B2D4F"/>
          <w:sz w:val="28"/>
        </w:rPr>
        <w:t>Registre des campagnes à tenir</w:t>
      </w:r>
    </w:p>
    <w:tbl>
      <w:tblPr>
        <w:tblW w:type="auto" w:w="0"/>
        <w:jc w:val="center"/>
        <w:tblLayout w:type="fixed"/>
        <w:tblLook w:firstColumn="1" w:firstRow="1" w:lastColumn="0" w:lastRow="0" w:noHBand="0" w:noVBand="1" w:val="04A0"/>
      </w:tblPr>
      <w:tblGrid>
        <w:gridCol w:w="1153"/>
        <w:gridCol w:w="1153"/>
        <w:gridCol w:w="1153"/>
        <w:gridCol w:w="1153"/>
        <w:gridCol w:w="1153"/>
        <w:gridCol w:w="1153"/>
        <w:gridCol w:w="1153"/>
        <w:gridCol w:w="1153"/>
        <w:gridCol w:w="1153"/>
      </w:tblGrid>
      <w:tr>
        <w:trPr>
          <w:trHeight w:hRule="atLeast"/>
          <w:tblHeader w:val="true"/>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Code</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Structure / canal</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Support</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Début</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Fin</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Objectif</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Engagés</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Terminés</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Statut</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CAMP-01</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À renseigner</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QR / lien</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__/__/26</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__/__/26</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Prévue</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CAMP-02</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À renseigner</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QR / lien</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__/__/26</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__/__/26</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Prévue</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CAMP-03</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À renseigner</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QR / lien</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__/__/26</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__/__/26</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Prévue</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CAMP-04</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À renseigner</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QR / lien</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__/__/26</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__/__/26</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Prévue</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CAMP-05</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À renseigner</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QR / lien</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__/__/26</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__/__/26</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Prévue</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CAMP-06</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À renseigner</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QR / lien</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__/__/26</w:t>
            </w:r>
          </w:p>
        </w:tc>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__/__/26</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Prévue</w:t>
            </w:r>
          </w:p>
        </w:tc>
      </w:tr>
    </w:tbl>
    <w:p>
      <w:pPr>
        <w:spacing w:before="120" w:after="60" w:line="240" w:lineRule="auto"/>
      </w:pPr>
      <w:r>
        <w:rPr>
          <w:rFonts w:ascii="Arial" w:hAnsi="Arial" w:eastAsia="Arial"/>
          <w:b/>
          <w:i w:val="0"/>
          <w:color w:val="008A7A"/>
          <w:sz w:val="22"/>
        </w:rPr>
        <w:t>Contrôles à appliquer</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Un code par combinaison utile : </w:t>
      </w:r>
      <w:r>
        <w:rPr>
          <w:rFonts w:ascii="Arial" w:hAnsi="Arial" w:eastAsia="Arial"/>
          <w:b w:val="0"/>
          <w:i w:val="0"/>
          <w:color w:val="13253A"/>
          <w:sz w:val="18"/>
        </w:rPr>
        <w:t>structure, canal et support, afin de pouvoir interpréter les résultats.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Pas de micro-ciblage : </w:t>
      </w:r>
      <w:r>
        <w:rPr>
          <w:rFonts w:ascii="Arial" w:hAnsi="Arial" w:eastAsia="Arial"/>
          <w:b w:val="0"/>
          <w:i w:val="0"/>
          <w:color w:val="13253A"/>
          <w:sz w:val="18"/>
        </w:rPr>
        <w:t>ne pas créer de code par personne, classe réduite ou situation individuelle.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Date d’activation conservée : </w:t>
      </w:r>
      <w:r>
        <w:rPr>
          <w:rFonts w:ascii="Arial" w:hAnsi="Arial" w:eastAsia="Arial"/>
          <w:b w:val="0"/>
          <w:i w:val="0"/>
          <w:color w:val="13253A"/>
          <w:sz w:val="18"/>
        </w:rPr>
        <w:t>pour rattacher correctement les résultats à la période de diffusion.</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Lien de secours sans campagne : </w:t>
      </w:r>
      <w:r>
        <w:rPr>
          <w:rFonts w:ascii="Arial" w:hAnsi="Arial" w:eastAsia="Arial"/>
          <w:b w:val="0"/>
          <w:i w:val="0"/>
          <w:color w:val="13253A"/>
          <w:sz w:val="18"/>
        </w:rPr>
        <w:t>accessible à tous ; les accès directs restent comptabilisés dans une catégorie distincte.</w:t>
      </w: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5</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6"/>
              </w:rPr>
              <w:t>Dictionnaire des indicateurs</w:t>
            </w:r>
          </w:p>
          <w:p>
            <w:pPr>
              <w:spacing w:before="40" w:after="0" w:line="240" w:lineRule="auto"/>
            </w:pPr>
            <w:r>
              <w:rPr>
                <w:rFonts w:ascii="Arial" w:hAnsi="Arial" w:eastAsia="Arial"/>
                <w:b w:val="0"/>
                <w:i w:val="0"/>
                <w:color w:val="D8E7F2"/>
                <w:sz w:val="17"/>
              </w:rPr>
              <w:t>Définitions, formules et seuils de lecture</w:t>
            </w:r>
          </w:p>
        </w:tc>
      </w:tr>
    </w:tbl>
    <w:p>
      <w:pPr>
        <w:spacing w:after="20"/>
      </w:pPr>
    </w:p>
    <w:tbl>
      <w:tblPr>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Indicateur</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Calcul proposé</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Lecture</w:t>
            </w:r>
          </w:p>
        </w:tc>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Cible / alerte</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4"/>
              </w:rPr>
              <w:t>Visiteurs engagés uniques</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Nombre d’identifiants anonymes ayant déclenché journey_started</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Indicateur principal de personnes touchées</w:t>
            </w:r>
          </w:p>
        </w:tc>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Objectif : 5 000</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4"/>
              </w:rPr>
              <w:t>Taux de complétion</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Parcours terminés / parcours commencés × 100</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Capacité à conduire l’utilisateur jusqu’au résultat</w:t>
            </w:r>
          </w:p>
        </w:tc>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interpréter par module</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4"/>
              </w:rPr>
              <w:t>Taux de passage à l’action</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Visiteurs ayant ouvert ou généré un livrable / visiteurs engagés × 100</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Transformation de la sensibilisation en outil concret</w:t>
            </w:r>
          </w:p>
        </w:tc>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Suivi mensuel</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4"/>
              </w:rPr>
              <w:t>Taux de téléchargement</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PDF téléchargés / résultats consultés × 100</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Appropriation d’un support conservable</w:t>
            </w:r>
          </w:p>
        </w:tc>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Suivi par document</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4"/>
              </w:rPr>
              <w:t>Durée médiane</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Médiane entre début et fin du parcours</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Compatibilité avec la promesse de 5 à 10 minutes</w:t>
            </w:r>
          </w:p>
        </w:tc>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Alerte si dérive forte</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4"/>
              </w:rPr>
              <w:t>Contribution des campagnes</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Engagés attribués à une campagne / total engagés × 100</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Apport des partenaires et supports</w:t>
            </w:r>
          </w:p>
        </w:tc>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Comparer les canaux</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4"/>
              </w:rPr>
              <w:t>Taux d’erreur bloquante</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Sessions avec erreur bloquante / sessions × 100</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Fiabilité technique</w:t>
            </w:r>
          </w:p>
        </w:tc>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Objectif proche de 0</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4"/>
              </w:rPr>
              <w:t>Disponibilité</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Temps accessible / temps total observé × 100</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Continuité du service</w:t>
            </w:r>
          </w:p>
        </w:tc>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Suivi hebdomadaire</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4"/>
              </w:rPr>
              <w:t>Retours utiles</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Nombre de retours qualifiés reçus</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Écoute et amélioration continue</w:t>
            </w:r>
          </w:p>
        </w:tc>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Analyser les thèmes</w:t>
            </w:r>
          </w:p>
        </w:tc>
      </w:tr>
    </w:tbl>
    <w:p>
      <w:pPr>
        <w:spacing w:before="120" w:after="60" w:line="240" w:lineRule="auto"/>
        <w:pBdr>
          <w:bottom w:val="single" w:sz="10" w:space="2" w:color="008A7A"/>
        </w:pBdr>
      </w:pPr>
      <w:r>
        <w:rPr>
          <w:rFonts w:ascii="Arial" w:hAnsi="Arial" w:eastAsia="Arial"/>
          <w:b/>
          <w:i w:val="0"/>
          <w:color w:val="0B2D4F"/>
          <w:sz w:val="28"/>
        </w:rPr>
        <w:t>Règles de présentation au jury</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Toujours afficher le dénominateur : </w:t>
      </w:r>
      <w:r>
        <w:rPr>
          <w:rFonts w:ascii="Arial" w:hAnsi="Arial" w:eastAsia="Arial"/>
          <w:b w:val="0"/>
          <w:i w:val="0"/>
          <w:color w:val="13253A"/>
          <w:sz w:val="18"/>
        </w:rPr>
        <w:t>un pourcentage sans volume brut peut être trompeur.</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Séparer réel et prévisionnel : </w:t>
      </w:r>
      <w:r>
        <w:rPr>
          <w:rFonts w:ascii="Arial" w:hAnsi="Arial" w:eastAsia="Arial"/>
          <w:b w:val="0"/>
          <w:i w:val="0"/>
          <w:color w:val="13253A"/>
          <w:sz w:val="18"/>
        </w:rPr>
        <w:t>les objectifs restent identifiés comme cibles ; les résultats portent une date d’extraction.</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Présenter les abandons : </w:t>
      </w:r>
      <w:r>
        <w:rPr>
          <w:rFonts w:ascii="Arial" w:hAnsi="Arial" w:eastAsia="Arial"/>
          <w:b w:val="0"/>
          <w:i w:val="0"/>
          <w:color w:val="13253A"/>
          <w:sz w:val="18"/>
        </w:rPr>
        <w:t>un faible taux de complétion est une information utile, pas une donnée à masquer.</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Expliquer les écarts : </w:t>
      </w:r>
      <w:r>
        <w:rPr>
          <w:rFonts w:ascii="Arial" w:hAnsi="Arial" w:eastAsia="Arial"/>
          <w:b w:val="0"/>
          <w:i w:val="0"/>
          <w:color w:val="13253A"/>
          <w:sz w:val="18"/>
        </w:rPr>
        <w:t>diffusion tardive, incident technique, campagne non activée ou support moins performant.</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Conserver les corrections : </w:t>
      </w:r>
      <w:r>
        <w:rPr>
          <w:rFonts w:ascii="Arial" w:hAnsi="Arial" w:eastAsia="Arial"/>
          <w:b w:val="0"/>
          <w:i w:val="0"/>
          <w:color w:val="13253A"/>
          <w:sz w:val="18"/>
        </w:rPr>
        <w:t>toute reprise de calcul ou exclusion de trafic doit être journalisée.</w:t>
      </w:r>
    </w:p>
    <w:tbl>
      <w:tblPr>
        <w:tblW w:type="auto" w:w="0"/>
        <w:jc w:val="center"/>
        <w:tblLayout w:type="fixed"/>
        <w:tblLook w:firstColumn="1" w:firstRow="1" w:lastColumn="0" w:lastRow="0" w:noHBand="0" w:noVBand="1" w:val="04A0"/>
      </w:tblPr>
      <w:tblGrid>
        <w:gridCol w:w="198"/>
        <w:gridCol w:w="10035"/>
      </w:tblGrid>
      <w:tr>
        <w:tc>
          <w:tcPr>
            <w:tcW w:type="dxa" w:w="5188"/>
            <w:shd w:fill="F28C28"/>
            <w:tcMar>
              <w:top w:w="60" w:type="dxa"/>
              <w:start w:w="40" w:type="dxa"/>
              <w:bottom w:w="60" w:type="dxa"/>
              <w:end w:w="40" w:type="dxa"/>
            </w:tcMar>
          </w:tcPr>
          <w:p/>
        </w:tc>
        <w:tc>
          <w:tcPr>
            <w:tcW w:type="dxa" w:w="5188"/>
            <w:shd w:fill="FFF3E5"/>
            <w:tcMar>
              <w:top w:w="105" w:type="dxa"/>
              <w:start w:w="150" w:type="dxa"/>
              <w:bottom w:w="105" w:type="dxa"/>
              <w:end w:w="150" w:type="dxa"/>
            </w:tcMar>
          </w:tcPr>
          <w:p>
            <w:pPr>
              <w:spacing w:before="0" w:after="20" w:line="240" w:lineRule="auto"/>
            </w:pPr>
            <w:r>
              <w:rPr>
                <w:rFonts w:ascii="Arial" w:hAnsi="Arial" w:eastAsia="Arial"/>
                <w:b/>
                <w:i w:val="0"/>
                <w:color w:val="F28C28"/>
                <w:sz w:val="20"/>
              </w:rPr>
              <w:t>Indicateur de prudence</w:t>
            </w:r>
          </w:p>
          <w:p>
            <w:pPr>
              <w:spacing w:before="0" w:after="0" w:line="257" w:lineRule="auto"/>
            </w:pPr>
            <w:r>
              <w:rPr>
                <w:rFonts w:ascii="Arial" w:hAnsi="Arial" w:eastAsia="Arial"/>
                <w:b w:val="0"/>
                <w:i w:val="0"/>
                <w:color w:val="13253A"/>
                <w:sz w:val="18"/>
              </w:rPr>
              <w:t>L’objectif de 5 000 ne sera pas présenté comme atteint sur la base d’impressions, de pages vues ou de portée sociale. Seuls les visiteurs engagés uniques, selon la définition publiée, alimenteront le compteur principal.</w:t>
            </w:r>
          </w:p>
        </w:tc>
      </w:tr>
    </w:tbl>
    <w:p>
      <w:pPr>
        <w:spacing w:after="20"/>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6</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6"/>
              </w:rPr>
              <w:t>Maquette du tableau de bord</w:t>
            </w:r>
          </w:p>
          <w:p>
            <w:pPr>
              <w:spacing w:before="40" w:after="0" w:line="240" w:lineRule="auto"/>
            </w:pPr>
            <w:r>
              <w:rPr>
                <w:rFonts w:ascii="Arial" w:hAnsi="Arial" w:eastAsia="Arial"/>
                <w:b w:val="0"/>
                <w:i w:val="0"/>
                <w:color w:val="D8E7F2"/>
                <w:sz w:val="17"/>
              </w:rPr>
              <w:t>Une lecture simple pour piloter et rendre compte</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Organisation proposée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Bandeau de synthèse : </w:t>
      </w:r>
      <w:r>
        <w:rPr>
          <w:rFonts w:ascii="Arial" w:hAnsi="Arial" w:eastAsia="Arial"/>
          <w:b w:val="0"/>
          <w:i w:val="0"/>
          <w:color w:val="13253A"/>
          <w:sz w:val="18"/>
        </w:rPr>
        <w:t>objectif, visiteurs engagés uniques, taux de complétion et livrables générés.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Entonnoir de participation : </w:t>
      </w:r>
      <w:r>
        <w:rPr>
          <w:rFonts w:ascii="Arial" w:hAnsi="Arial" w:eastAsia="Arial"/>
          <w:b w:val="0"/>
          <w:i w:val="0"/>
          <w:color w:val="13253A"/>
          <w:sz w:val="18"/>
        </w:rPr>
        <w:t>engagement, complétion, consultation du résultat et passage à l’action.</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Canaux de diffusion : </w:t>
      </w:r>
      <w:r>
        <w:rPr>
          <w:rFonts w:ascii="Arial" w:hAnsi="Arial" w:eastAsia="Arial"/>
          <w:b w:val="0"/>
          <w:i w:val="0"/>
          <w:color w:val="13253A"/>
          <w:sz w:val="18"/>
        </w:rPr>
        <w:t>contribution des campagnes, accès directs et comparaisons entre supports.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Qualité : </w:t>
      </w:r>
      <w:r>
        <w:rPr>
          <w:rFonts w:ascii="Arial" w:hAnsi="Arial" w:eastAsia="Arial"/>
          <w:b w:val="0"/>
          <w:i w:val="0"/>
          <w:color w:val="13253A"/>
          <w:sz w:val="18"/>
        </w:rPr>
        <w:t>disponibilité, erreurs, retours, corrections et date de dernière extraction.</w:t>
      </w:r>
    </w:p>
    <w:p>
      <w:pPr>
        <w:spacing w:before="80" w:after="40" w:line="240" w:lineRule="auto"/>
        <w:jc w:val="center"/>
      </w:pPr>
      <w:r>
        <w:drawing>
          <wp:inline xmlns:a="http://schemas.openxmlformats.org/drawingml/2006/main" xmlns:pic="http://schemas.openxmlformats.org/drawingml/2006/picture">
            <wp:extent cx="6408000" cy="3604500"/>
            <wp:docPr id="1" name="Picture 1"/>
            <wp:cNvGraphicFramePr>
              <a:graphicFrameLocks noChangeAspect="1"/>
            </wp:cNvGraphicFramePr>
            <a:graphic>
              <a:graphicData uri="http://schemas.openxmlformats.org/drawingml/2006/picture">
                <pic:pic>
                  <pic:nvPicPr>
                    <pic:cNvPr id="0" name="09_maquette_tableau_de_bord.png"/>
                    <pic:cNvPicPr/>
                  </pic:nvPicPr>
                  <pic:blipFill>
                    <a:blip r:embed="rId11"/>
                    <a:stretch>
                      <a:fillRect/>
                    </a:stretch>
                  </pic:blipFill>
                  <pic:spPr>
                    <a:xfrm>
                      <a:off x="0" y="0"/>
                      <a:ext cx="6408000" cy="3604500"/>
                    </a:xfrm>
                    <a:prstGeom prst="rect"/>
                  </pic:spPr>
                </pic:pic>
              </a:graphicData>
            </a:graphic>
          </wp:inline>
        </w:drawing>
      </w:r>
    </w:p>
    <w:p>
      <w:pPr>
        <w:spacing w:before="0" w:after="60" w:line="240" w:lineRule="auto"/>
        <w:jc w:val="center"/>
      </w:pPr>
      <w:r>
        <w:rPr>
          <w:rFonts w:ascii="Arial" w:hAnsi="Arial" w:eastAsia="Arial"/>
          <w:b w:val="0"/>
          <w:i/>
          <w:color w:val="5F6B76"/>
          <w:sz w:val="16"/>
        </w:rPr>
        <w:t>Maquette fonctionnelle - les tirets indiquent des valeurs à alimenter après instrumentation.</w:t>
      </w:r>
    </w:p>
    <w:p>
      <w:pPr>
        <w:spacing w:before="120" w:after="60" w:line="240" w:lineRule="auto"/>
      </w:pPr>
      <w:r>
        <w:rPr>
          <w:rFonts w:ascii="Arial" w:hAnsi="Arial" w:eastAsia="Arial"/>
          <w:b/>
          <w:i w:val="0"/>
          <w:color w:val="008A7A"/>
          <w:sz w:val="22"/>
        </w:rPr>
        <w:t>Filtres utiles, mais limités</w:t>
      </w:r>
    </w:p>
    <w:p>
      <w:pPr>
        <w:spacing w:before="0" w:after="40" w:line="250" w:lineRule="auto"/>
        <w:ind w:left="198" w:hanging="142"/>
      </w:pPr>
      <w:r>
        <w:rPr>
          <w:rFonts w:ascii="Arial" w:hAnsi="Arial" w:eastAsia="Arial"/>
          <w:b/>
          <w:i w:val="0"/>
          <w:color w:val="008A7A"/>
          <w:sz w:val="17"/>
        </w:rPr>
        <w:t xml:space="preserve">• </w:t>
      </w:r>
      <w:r>
        <w:rPr>
          <w:rFonts w:ascii="Arial" w:hAnsi="Arial" w:eastAsia="Arial"/>
          <w:b w:val="0"/>
          <w:i w:val="0"/>
          <w:color w:val="13253A"/>
          <w:sz w:val="17"/>
        </w:rPr>
        <w:t>Période : jour, semaine, mois et campagne complète.</w:t>
      </w:r>
    </w:p>
    <w:p>
      <w:pPr>
        <w:spacing w:before="0" w:after="40" w:line="250" w:lineRule="auto"/>
        <w:ind w:left="198" w:hanging="142"/>
      </w:pPr>
      <w:r>
        <w:rPr>
          <w:rFonts w:ascii="Arial" w:hAnsi="Arial" w:eastAsia="Arial"/>
          <w:b/>
          <w:i w:val="0"/>
          <w:color w:val="008A7A"/>
          <w:sz w:val="17"/>
        </w:rPr>
        <w:t xml:space="preserve">• </w:t>
      </w:r>
      <w:r>
        <w:rPr>
          <w:rFonts w:ascii="Arial" w:hAnsi="Arial" w:eastAsia="Arial"/>
          <w:b w:val="0"/>
          <w:i w:val="0"/>
          <w:color w:val="13253A"/>
          <w:sz w:val="17"/>
        </w:rPr>
        <w:t>Module : diagnostic, quiz, micro-formation ou mise en situation.</w:t>
      </w:r>
    </w:p>
    <w:p>
      <w:pPr>
        <w:spacing w:before="0" w:after="40" w:line="250" w:lineRule="auto"/>
        <w:ind w:left="198" w:hanging="142"/>
      </w:pPr>
      <w:r>
        <w:rPr>
          <w:rFonts w:ascii="Arial" w:hAnsi="Arial" w:eastAsia="Arial"/>
          <w:b/>
          <w:i w:val="0"/>
          <w:color w:val="008A7A"/>
          <w:sz w:val="17"/>
        </w:rPr>
        <w:t xml:space="preserve">• </w:t>
      </w:r>
      <w:r>
        <w:rPr>
          <w:rFonts w:ascii="Arial" w:hAnsi="Arial" w:eastAsia="Arial"/>
          <w:b w:val="0"/>
          <w:i w:val="0"/>
          <w:color w:val="13253A"/>
          <w:sz w:val="17"/>
        </w:rPr>
        <w:t>Canal : QR code, lien direct, courriel, intranet, réseau social ou événement.</w:t>
      </w:r>
    </w:p>
    <w:p>
      <w:pPr>
        <w:spacing w:before="0" w:after="40" w:line="250" w:lineRule="auto"/>
        <w:ind w:left="198" w:hanging="142"/>
      </w:pPr>
      <w:r>
        <w:rPr>
          <w:rFonts w:ascii="Arial" w:hAnsi="Arial" w:eastAsia="Arial"/>
          <w:b/>
          <w:i w:val="0"/>
          <w:color w:val="008A7A"/>
          <w:sz w:val="17"/>
        </w:rPr>
        <w:t xml:space="preserve">• </w:t>
      </w:r>
      <w:r>
        <w:rPr>
          <w:rFonts w:ascii="Arial" w:hAnsi="Arial" w:eastAsia="Arial"/>
          <w:b w:val="0"/>
          <w:i w:val="0"/>
          <w:color w:val="13253A"/>
          <w:sz w:val="17"/>
        </w:rPr>
        <w:t>Type de relais : établissement, commune, association, entreprise ou organisme public.</w:t>
      </w:r>
    </w:p>
    <w:tbl>
      <w:tblPr>
        <w:tblW w:type="auto" w:w="0"/>
        <w:jc w:val="center"/>
        <w:tblLayout w:type="fixed"/>
        <w:tblLook w:firstColumn="1" w:firstRow="1" w:lastColumn="0" w:lastRow="0" w:noHBand="0" w:noVBand="1" w:val="04A0"/>
      </w:tblPr>
      <w:tblGrid>
        <w:gridCol w:w="198"/>
        <w:gridCol w:w="10035"/>
      </w:tblGrid>
      <w:tr>
        <w:tc>
          <w:tcPr>
            <w:tcW w:type="dxa" w:w="5188"/>
            <w:shd w:fill="C64242"/>
            <w:tcMar>
              <w:top w:w="60" w:type="dxa"/>
              <w:start w:w="40" w:type="dxa"/>
              <w:bottom w:w="60" w:type="dxa"/>
              <w:end w:w="40" w:type="dxa"/>
            </w:tcMar>
          </w:tcPr>
          <w:p/>
        </w:tc>
        <w:tc>
          <w:tcPr>
            <w:tcW w:type="dxa" w:w="5188"/>
            <w:shd w:fill="FDEEEE"/>
            <w:tcMar>
              <w:top w:w="105" w:type="dxa"/>
              <w:start w:w="150" w:type="dxa"/>
              <w:bottom w:w="105" w:type="dxa"/>
              <w:end w:w="150" w:type="dxa"/>
            </w:tcMar>
          </w:tcPr>
          <w:p>
            <w:pPr>
              <w:spacing w:before="0" w:after="20" w:line="240" w:lineRule="auto"/>
            </w:pPr>
            <w:r>
              <w:rPr>
                <w:rFonts w:ascii="Arial" w:hAnsi="Arial" w:eastAsia="Arial"/>
                <w:b/>
                <w:i w:val="0"/>
                <w:color w:val="C64242"/>
                <w:sz w:val="20"/>
              </w:rPr>
              <w:t>Pas de segmentation individuelle</w:t>
            </w:r>
          </w:p>
          <w:p>
            <w:pPr>
              <w:spacing w:before="0" w:after="0" w:line="257" w:lineRule="auto"/>
            </w:pPr>
            <w:r>
              <w:rPr>
                <w:rFonts w:ascii="Arial" w:hAnsi="Arial" w:eastAsia="Arial"/>
                <w:b w:val="0"/>
                <w:i w:val="0"/>
                <w:color w:val="13253A"/>
                <w:sz w:val="18"/>
              </w:rPr>
              <w:t>Le tableau de bord ne doit pas permettre d’isoler un foyer, une personne vulnérable ou un petit groupe identifiable. Les vues partenaires restent agrégées et les catégories trop faibles sont regroupées.</w:t>
            </w:r>
          </w:p>
        </w:tc>
      </w:tr>
    </w:tbl>
    <w:p>
      <w:pPr>
        <w:spacing w:after="20"/>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7</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6"/>
              </w:rPr>
              <w:t>Architecture, confidentialité et sécurité</w:t>
            </w:r>
          </w:p>
          <w:p>
            <w:pPr>
              <w:spacing w:before="40" w:after="0" w:line="240" w:lineRule="auto"/>
            </w:pPr>
            <w:r>
              <w:rPr>
                <w:rFonts w:ascii="Arial" w:hAnsi="Arial" w:eastAsia="Arial"/>
                <w:b w:val="0"/>
                <w:i w:val="0"/>
                <w:color w:val="D8E7F2"/>
                <w:sz w:val="17"/>
              </w:rPr>
              <w:t>Une chaîne de mesure limitée, contrôlée et réversible</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Chaîne fonctionnelle cible</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Étape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Fonction</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Garantie attendue</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1. Navigateur</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Création d’un identifiant aléatoire local et déclenchement d’événements strictement définis.</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Aucune identité obligatoire.</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2. Collecteur</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Réception HTTPS, contrôle du format, rejet des champs non autorisés.</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Ne pas conserver l’adresse IP en clair.</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3. Stockage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Conservation limitée des événements utiles et agrégations quotidiennes.</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Durée à fixer dans la politique de confidentialité.</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4. Tableau de bord</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Calcul des indicateurs, campagnes et contrôles de qualité.</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Accès réservé aux personnes habilitées.</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5. Export de bilan</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Tableaux agrégés et captures datées pour le dossier JNR.</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Aucune donnée individuelle publiée.</w:t>
            </w:r>
          </w:p>
        </w:tc>
      </w:tr>
    </w:tbl>
    <w:p>
      <w:pPr>
        <w:spacing w:before="120" w:after="60" w:line="240" w:lineRule="auto"/>
        <w:pBdr>
          <w:bottom w:val="single" w:sz="10" w:space="2" w:color="008A7A"/>
        </w:pBdr>
      </w:pPr>
      <w:r>
        <w:rPr>
          <w:rFonts w:ascii="Arial" w:hAnsi="Arial" w:eastAsia="Arial"/>
          <w:b/>
          <w:i w:val="0"/>
          <w:color w:val="0B2D4F"/>
          <w:sz w:val="28"/>
        </w:rPr>
        <w:t>Paramètres à décider avant mise en production</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Décision</w:t>
            </w:r>
          </w:p>
        </w:tc>
        <w:tc>
          <w:tcPr>
            <w:tcW w:type="dxa" w:w="413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Choix à documenter</w:t>
            </w:r>
          </w:p>
        </w:tc>
        <w:tc>
          <w:tcPr>
            <w:tcW w:type="dxa" w:w="379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Preuve attendue</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Outil de mesure</w:t>
            </w:r>
          </w:p>
        </w:tc>
        <w:tc>
          <w:tcPr>
            <w:tcW w:type="dxa" w:w="413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Solution retenue, hébergement et configuration</w:t>
            </w:r>
          </w:p>
        </w:tc>
        <w:tc>
          <w:tcPr>
            <w:tcW w:type="dxa" w:w="379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Capture de configuration / note technique</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Identifiant anonyme</w:t>
            </w:r>
          </w:p>
        </w:tc>
        <w:tc>
          <w:tcPr>
            <w:tcW w:type="dxa" w:w="413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Mode de création, renouvellement et effacement</w:t>
            </w:r>
          </w:p>
        </w:tc>
        <w:tc>
          <w:tcPr>
            <w:tcW w:type="dxa" w:w="379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Test fonctionnel et politique de confidentialité</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Durée de conservation</w:t>
            </w:r>
          </w:p>
        </w:tc>
        <w:tc>
          <w:tcPr>
            <w:tcW w:type="dxa" w:w="413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Durée des événements bruts et agrégats</w:t>
            </w:r>
          </w:p>
        </w:tc>
        <w:tc>
          <w:tcPr>
            <w:tcW w:type="dxa" w:w="379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Registre interne et paramétrage</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Gestion du consentement</w:t>
            </w:r>
          </w:p>
        </w:tc>
        <w:tc>
          <w:tcPr>
            <w:tcW w:type="dxa" w:w="413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Qualification des traceurs et information utilisateur</w:t>
            </w:r>
          </w:p>
        </w:tc>
        <w:tc>
          <w:tcPr>
            <w:tcW w:type="dxa" w:w="379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Bandeau ou information adaptée au choix retenu</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Accès au tableau de bord</w:t>
            </w:r>
          </w:p>
        </w:tc>
        <w:tc>
          <w:tcPr>
            <w:tcW w:type="dxa" w:w="413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Comptes autorisés, authentification et révocation</w:t>
            </w:r>
          </w:p>
        </w:tc>
        <w:tc>
          <w:tcPr>
            <w:tcW w:type="dxa" w:w="379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Liste des habilitations</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Sauvegarde et suppression</w:t>
            </w:r>
          </w:p>
        </w:tc>
        <w:tc>
          <w:tcPr>
            <w:tcW w:type="dxa" w:w="413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Fréquence, restauration et procédure d’effacement</w:t>
            </w:r>
          </w:p>
        </w:tc>
        <w:tc>
          <w:tcPr>
            <w:tcW w:type="dxa" w:w="379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Journal de tests</w:t>
            </w:r>
          </w:p>
        </w:tc>
      </w:tr>
    </w:tbl>
    <w:tbl>
      <w:tblPr>
        <w:tblW w:type="auto" w:w="0"/>
        <w:jc w:val="center"/>
        <w:tblLayout w:type="fixed"/>
        <w:tblLook w:firstColumn="1" w:firstRow="1" w:lastColumn="0" w:lastRow="0" w:noHBand="0" w:noVBand="1" w:val="04A0"/>
      </w:tblPr>
      <w:tblGrid>
        <w:gridCol w:w="198"/>
        <w:gridCol w:w="10035"/>
      </w:tblGrid>
      <w:tr>
        <w:tc>
          <w:tcPr>
            <w:tcW w:type="dxa" w:w="5188"/>
            <w:shd w:fill="008A7A"/>
            <w:tcMar>
              <w:top w:w="60" w:type="dxa"/>
              <w:start w:w="40" w:type="dxa"/>
              <w:bottom w:w="60" w:type="dxa"/>
              <w:end w:w="40" w:type="dxa"/>
            </w:tcMar>
          </w:tcPr>
          <w:p/>
        </w:tc>
        <w:tc>
          <w:tcPr>
            <w:tcW w:type="dxa" w:w="5188"/>
            <w:shd w:fill="EEF7F6"/>
            <w:tcMar>
              <w:top w:w="105" w:type="dxa"/>
              <w:start w:w="150" w:type="dxa"/>
              <w:bottom w:w="105" w:type="dxa"/>
              <w:end w:w="150" w:type="dxa"/>
            </w:tcMar>
          </w:tcPr>
          <w:p>
            <w:pPr>
              <w:spacing w:before="0" w:after="20" w:line="240" w:lineRule="auto"/>
            </w:pPr>
            <w:r>
              <w:rPr>
                <w:rFonts w:ascii="Arial" w:hAnsi="Arial" w:eastAsia="Arial"/>
                <w:b/>
                <w:i w:val="0"/>
                <w:color w:val="008A7A"/>
                <w:sz w:val="20"/>
              </w:rPr>
              <w:t>Principe de minimisation</w:t>
            </w:r>
          </w:p>
          <w:p>
            <w:pPr>
              <w:spacing w:before="0" w:after="0" w:line="257" w:lineRule="auto"/>
            </w:pPr>
            <w:r>
              <w:rPr>
                <w:rFonts w:ascii="Arial" w:hAnsi="Arial" w:eastAsia="Arial"/>
                <w:b w:val="0"/>
                <w:i w:val="0"/>
                <w:color w:val="13253A"/>
                <w:sz w:val="18"/>
              </w:rPr>
              <w:t>Le choix de l’outil ne doit pas conduire à transmettre par défaut davantage de données que le plan de mesure. Les champs autorisés sont définis à l’avance ; les réponses détaillées au diagnostic restent sur l’appareil lorsque cela est possible.</w:t>
            </w:r>
          </w:p>
        </w:tc>
      </w:tr>
    </w:tbl>
    <w:p>
      <w:pPr>
        <w:spacing w:after="20"/>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8</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6"/>
              </w:rPr>
              <w:t>Pilotage, contrôles et conservation des preuves</w:t>
            </w:r>
          </w:p>
          <w:p>
            <w:pPr>
              <w:spacing w:before="40" w:after="0" w:line="240" w:lineRule="auto"/>
            </w:pPr>
            <w:r>
              <w:rPr>
                <w:rFonts w:ascii="Arial" w:hAnsi="Arial" w:eastAsia="Arial"/>
                <w:b w:val="0"/>
                <w:i w:val="0"/>
                <w:color w:val="D8E7F2"/>
                <w:sz w:val="17"/>
              </w:rPr>
              <w:t>Produire un bilan reproductible et documenté</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Rythme de pilotage proposé</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Fréquence</w:t>
            </w:r>
          </w:p>
        </w:tc>
        <w:tc>
          <w:tcPr>
            <w:tcW w:type="dxa" w:w="5216"/>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Contrôle</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Trace conservée</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Quotidien pendant le lancement</w:t>
            </w:r>
          </w:p>
        </w:tc>
        <w:tc>
          <w:tcPr>
            <w:tcW w:type="dxa" w:w="5216"/>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Vérifier disponibilité, erreurs bloquantes et remontées urgentes.</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Journal d’incidents.</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Hebdomadaire</w:t>
            </w:r>
          </w:p>
        </w:tc>
        <w:tc>
          <w:tcPr>
            <w:tcW w:type="dxa" w:w="5216"/>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Contrôler les volumes, le taux de complétion, les campagnes actives et les écarts inhabituels.</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Export hebdomadaire et note de pilotage.</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Mensuel</w:t>
            </w:r>
          </w:p>
        </w:tc>
        <w:tc>
          <w:tcPr>
            <w:tcW w:type="dxa" w:w="5216"/>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Comparer aux objectifs, analyser les canaux et décider des actions de relance ou correction.</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Tableau de bord mensuel daté.</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Fin de campagne</w:t>
            </w:r>
          </w:p>
        </w:tc>
        <w:tc>
          <w:tcPr>
            <w:tcW w:type="dxa" w:w="5216"/>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Geler une extraction, documenter les règles de calcul et rédiger le bilan.</w:t>
            </w:r>
          </w:p>
        </w:tc>
        <w:tc>
          <w:tcPr>
            <w:tcW w:type="dxa" w:w="32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Dossier de preuves final.</w:t>
            </w:r>
          </w:p>
        </w:tc>
      </w:tr>
    </w:tbl>
    <w:p>
      <w:pPr>
        <w:spacing w:before="120" w:after="60" w:line="240" w:lineRule="auto"/>
        <w:pBdr>
          <w:bottom w:val="single" w:sz="10" w:space="2" w:color="008A7A"/>
        </w:pBdr>
      </w:pPr>
      <w:r>
        <w:rPr>
          <w:rFonts w:ascii="Arial" w:hAnsi="Arial" w:eastAsia="Arial"/>
          <w:b/>
          <w:i w:val="0"/>
          <w:color w:val="0B2D4F"/>
          <w:sz w:val="28"/>
        </w:rPr>
        <w:t>Pièces à conserver pour le bilan JNR</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Dictionnaire des indicateurs : </w:t>
      </w:r>
      <w:r>
        <w:rPr>
          <w:rFonts w:ascii="Arial" w:hAnsi="Arial" w:eastAsia="Arial"/>
          <w:b w:val="0"/>
          <w:i w:val="0"/>
          <w:color w:val="13253A"/>
          <w:sz w:val="18"/>
        </w:rPr>
        <w:t>version datée utilisée pour le calcul final.</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Registre des campagnes : </w:t>
      </w:r>
      <w:r>
        <w:rPr>
          <w:rFonts w:ascii="Arial" w:hAnsi="Arial" w:eastAsia="Arial"/>
          <w:b w:val="0"/>
          <w:i w:val="0"/>
          <w:color w:val="13253A"/>
          <w:sz w:val="18"/>
        </w:rPr>
        <w:t>codes, structures, supports, dates et objectifs.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Exports statistiques : </w:t>
      </w:r>
      <w:r>
        <w:rPr>
          <w:rFonts w:ascii="Arial" w:hAnsi="Arial" w:eastAsia="Arial"/>
          <w:b w:val="0"/>
          <w:i w:val="0"/>
          <w:color w:val="13253A"/>
          <w:sz w:val="18"/>
        </w:rPr>
        <w:t>fichiers agrégés hebdomadaires et extraction finale.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Captures du tableau de bord : </w:t>
      </w:r>
      <w:r>
        <w:rPr>
          <w:rFonts w:ascii="Arial" w:hAnsi="Arial" w:eastAsia="Arial"/>
          <w:b w:val="0"/>
          <w:i w:val="0"/>
          <w:color w:val="13253A"/>
          <w:sz w:val="18"/>
        </w:rPr>
        <w:t>avec date, période et filtres visibles.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Journal des anomalies : </w:t>
      </w:r>
      <w:r>
        <w:rPr>
          <w:rFonts w:ascii="Arial" w:hAnsi="Arial" w:eastAsia="Arial"/>
          <w:b w:val="0"/>
          <w:i w:val="0"/>
          <w:color w:val="13253A"/>
          <w:sz w:val="18"/>
        </w:rPr>
        <w:t>incidents, trafic exclu, corrections et impacts.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Preuves de diffusion : </w:t>
      </w:r>
      <w:r>
        <w:rPr>
          <w:rFonts w:ascii="Arial" w:hAnsi="Arial" w:eastAsia="Arial"/>
          <w:b w:val="0"/>
          <w:i w:val="0"/>
          <w:color w:val="13253A"/>
          <w:sz w:val="18"/>
        </w:rPr>
        <w:t>publications, courriels, affiches, QR codes et confirmations des relais.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Note méthodologique finale : </w:t>
      </w:r>
      <w:r>
        <w:rPr>
          <w:rFonts w:ascii="Arial" w:hAnsi="Arial" w:eastAsia="Arial"/>
          <w:b w:val="0"/>
          <w:i w:val="0"/>
          <w:color w:val="13253A"/>
          <w:sz w:val="18"/>
        </w:rPr>
        <w:t>limites, approximations, changements de définition et règles de déduplication.</w:t>
      </w:r>
    </w:p>
    <w:p>
      <w:pPr>
        <w:spacing w:before="120" w:after="60" w:line="240" w:lineRule="auto"/>
        <w:pBdr>
          <w:bottom w:val="single" w:sz="10" w:space="2" w:color="008A7A"/>
        </w:pBdr>
      </w:pPr>
      <w:r>
        <w:rPr>
          <w:rFonts w:ascii="Arial" w:hAnsi="Arial" w:eastAsia="Arial"/>
          <w:b/>
          <w:i w:val="0"/>
          <w:color w:val="0B2D4F"/>
          <w:sz w:val="28"/>
        </w:rPr>
        <w:t>Journal des décisions de mesure</w:t>
      </w:r>
    </w:p>
    <w:tbl>
      <w:tblPr>
        <w:tblW w:type="auto" w:w="0"/>
        <w:jc w:val="center"/>
        <w:tblLayout w:type="fixed"/>
        <w:tblLook w:firstColumn="1" w:firstRow="1" w:lastColumn="0" w:lastRow="0" w:noHBand="0" w:noVBand="1" w:val="04A0"/>
      </w:tblPr>
      <w:tblGrid>
        <w:gridCol w:w="2075"/>
        <w:gridCol w:w="2075"/>
        <w:gridCol w:w="2075"/>
        <w:gridCol w:w="2075"/>
        <w:gridCol w:w="2075"/>
      </w:tblGrid>
      <w:tr>
        <w:trPr>
          <w:trHeight w:hRule="atLeast"/>
          <w:tblHeader w:val="true"/>
        </w:trPr>
        <w:tc>
          <w:tcPr>
            <w:tcW w:type="dxa" w:w="1020"/>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Date</w:t>
            </w:r>
          </w:p>
        </w:tc>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Décision / anomalie</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Motif</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Impact sur les résultats</w:t>
            </w:r>
          </w:p>
        </w:tc>
        <w:tc>
          <w:tcPr>
            <w:tcW w:type="dxa" w:w="19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Validation</w:t>
            </w:r>
          </w:p>
        </w:tc>
      </w:tr>
      <w:tr>
        <w:trPr>
          <w:trHeight w:hRule="atLeast"/>
        </w:trPr>
        <w:tc>
          <w:tcPr>
            <w:tcW w:type="dxa" w:w="1020"/>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__/__/2026</w:t>
            </w:r>
          </w:p>
        </w:tc>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renseigner</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renseigner</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Aucun / à préciser</w:t>
            </w:r>
          </w:p>
        </w:tc>
        <w:tc>
          <w:tcPr>
            <w:tcW w:type="dxa" w:w="19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Mathieu MULLER</w:t>
            </w:r>
          </w:p>
        </w:tc>
      </w:tr>
      <w:tr>
        <w:trPr>
          <w:trHeight w:hRule="atLeast"/>
        </w:trPr>
        <w:tc>
          <w:tcPr>
            <w:tcW w:type="dxa" w:w="1020"/>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__/__/2026</w:t>
            </w:r>
          </w:p>
        </w:tc>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renseigner</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renseigner</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Aucun / à préciser</w:t>
            </w:r>
          </w:p>
        </w:tc>
        <w:tc>
          <w:tcPr>
            <w:tcW w:type="dxa" w:w="19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Mathieu MULLER</w:t>
            </w:r>
          </w:p>
        </w:tc>
      </w:tr>
      <w:tr>
        <w:trPr>
          <w:trHeight w:hRule="atLeast"/>
        </w:trPr>
        <w:tc>
          <w:tcPr>
            <w:tcW w:type="dxa" w:w="1020"/>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__/__/2026</w:t>
            </w:r>
          </w:p>
        </w:tc>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renseigner</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renseigner</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Aucun / à préciser</w:t>
            </w:r>
          </w:p>
        </w:tc>
        <w:tc>
          <w:tcPr>
            <w:tcW w:type="dxa" w:w="19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Mathieu MULLER</w:t>
            </w:r>
          </w:p>
        </w:tc>
      </w:tr>
      <w:tr>
        <w:trPr>
          <w:trHeight w:hRule="atLeast"/>
        </w:trPr>
        <w:tc>
          <w:tcPr>
            <w:tcW w:type="dxa" w:w="1020"/>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__/__/2026</w:t>
            </w:r>
          </w:p>
        </w:tc>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renseigner</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renseigner</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Aucun / à préciser</w:t>
            </w:r>
          </w:p>
        </w:tc>
        <w:tc>
          <w:tcPr>
            <w:tcW w:type="dxa" w:w="19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Mathieu MULLER</w:t>
            </w:r>
          </w:p>
        </w:tc>
      </w:tr>
      <w:tr>
        <w:trPr>
          <w:trHeight w:hRule="atLeast"/>
        </w:trPr>
        <w:tc>
          <w:tcPr>
            <w:tcW w:type="dxa" w:w="1020"/>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__/__/2026</w:t>
            </w:r>
          </w:p>
        </w:tc>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renseigner</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renseigner</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Aucun / à préciser</w:t>
            </w:r>
          </w:p>
        </w:tc>
        <w:tc>
          <w:tcPr>
            <w:tcW w:type="dxa" w:w="19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Mathieu MULLER</w:t>
            </w:r>
          </w:p>
        </w:tc>
      </w:tr>
      <w:tr>
        <w:trPr>
          <w:trHeight w:hRule="atLeast"/>
        </w:trPr>
        <w:tc>
          <w:tcPr>
            <w:tcW w:type="dxa" w:w="1020"/>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__/__/2026</w:t>
            </w:r>
          </w:p>
        </w:tc>
        <w:tc>
          <w:tcPr>
            <w:tcW w:type="dxa" w:w="243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renseigner</w:t>
            </w:r>
          </w:p>
        </w:tc>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renseigner</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Aucun / à préciser</w:t>
            </w:r>
          </w:p>
        </w:tc>
        <w:tc>
          <w:tcPr>
            <w:tcW w:type="dxa" w:w="19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Mathieu MULLER</w:t>
            </w:r>
          </w:p>
        </w:tc>
      </w:tr>
    </w:tbl>
    <w:tbl>
      <w:tblPr>
        <w:tblW w:type="auto" w:w="0"/>
        <w:jc w:val="center"/>
        <w:tblLayout w:type="fixed"/>
        <w:tblLook w:firstColumn="1" w:firstRow="1" w:lastColumn="0" w:lastRow="0" w:noHBand="0" w:noVBand="1" w:val="04A0"/>
      </w:tblPr>
      <w:tblGrid>
        <w:gridCol w:w="198"/>
        <w:gridCol w:w="10035"/>
      </w:tblGrid>
      <w:tr>
        <w:tc>
          <w:tcPr>
            <w:tcW w:type="dxa" w:w="5188"/>
            <w:shd w:fill="F28C28"/>
            <w:tcMar>
              <w:top w:w="60" w:type="dxa"/>
              <w:start w:w="40" w:type="dxa"/>
              <w:bottom w:w="60" w:type="dxa"/>
              <w:end w:w="40" w:type="dxa"/>
            </w:tcMar>
          </w:tcPr>
          <w:p/>
        </w:tc>
        <w:tc>
          <w:tcPr>
            <w:tcW w:type="dxa" w:w="5188"/>
            <w:shd w:fill="FFF3E5"/>
            <w:tcMar>
              <w:top w:w="105" w:type="dxa"/>
              <w:start w:w="150" w:type="dxa"/>
              <w:bottom w:w="105" w:type="dxa"/>
              <w:end w:w="150" w:type="dxa"/>
            </w:tcMar>
          </w:tcPr>
          <w:p>
            <w:pPr>
              <w:spacing w:before="0" w:after="20" w:line="240" w:lineRule="auto"/>
            </w:pPr>
            <w:r>
              <w:rPr>
                <w:rFonts w:ascii="Arial" w:hAnsi="Arial" w:eastAsia="Arial"/>
                <w:b/>
                <w:i w:val="0"/>
                <w:color w:val="F28C28"/>
                <w:sz w:val="20"/>
              </w:rPr>
              <w:t>Reproductibilité</w:t>
            </w:r>
          </w:p>
          <w:p>
            <w:pPr>
              <w:spacing w:before="0" w:after="0" w:line="257" w:lineRule="auto"/>
            </w:pPr>
            <w:r>
              <w:rPr>
                <w:rFonts w:ascii="Arial" w:hAnsi="Arial" w:eastAsia="Arial"/>
                <w:b w:val="0"/>
                <w:i w:val="0"/>
                <w:color w:val="13253A"/>
                <w:sz w:val="18"/>
              </w:rPr>
              <w:t>Une personne extérieure doit pouvoir comprendre comment le chiffre final a été obtenu à partir des définitions, événements et exclusions documentés. Une correction ne doit jamais être appliquée silencieusement.</w:t>
            </w:r>
          </w:p>
        </w:tc>
      </w:tr>
    </w:tbl>
    <w:p>
      <w:pPr>
        <w:spacing w:after="20"/>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9</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6"/>
              </w:rPr>
              <w:t>Recette de l’instrumentation avant ouverture</w:t>
            </w:r>
          </w:p>
          <w:p>
            <w:pPr>
              <w:spacing w:before="40" w:after="0" w:line="240" w:lineRule="auto"/>
            </w:pPr>
            <w:r>
              <w:rPr>
                <w:rFonts w:ascii="Arial" w:hAnsi="Arial" w:eastAsia="Arial"/>
                <w:b w:val="0"/>
                <w:i w:val="0"/>
                <w:color w:val="D8E7F2"/>
                <w:sz w:val="17"/>
              </w:rPr>
              <w:t>Vérifier le comptage, la confidentialité et la restitution</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Plan minimal de tests</w:t>
      </w:r>
    </w:p>
    <w:tbl>
      <w:tblPr>
        <w:tblW w:type="auto" w:w="0"/>
        <w:jc w:val="center"/>
        <w:tblLayout w:type="fixed"/>
        <w:tblLook w:firstColumn="1" w:firstRow="1" w:lastColumn="0" w:lastRow="0" w:noHBand="0" w:noVBand="1" w:val="04A0"/>
      </w:tblPr>
      <w:tblGrid>
        <w:gridCol w:w="2075"/>
        <w:gridCol w:w="2075"/>
        <w:gridCol w:w="2075"/>
        <w:gridCol w:w="2075"/>
        <w:gridCol w:w="2075"/>
      </w:tblGrid>
      <w:tr>
        <w:trPr>
          <w:trHeight w:hRule="atLeast"/>
          <w:tblHeader w:val="true"/>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ID</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Test</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Résultat attendu</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Preuve</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Statut</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M01</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Ouverture seule de l’accueil</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Aucun visiteur touché compté</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Capture / export</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M02</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Démarrage d’un diagnostic</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1 visiteur engagé et 1 parcours commencé</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Export événement</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M03</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Actualisation de la page</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Pas de nouveau visiteur unique</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Comparaison avant/après</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M04</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Fin du diagnostic</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1 parcours terminé et durée calculable</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Export événement</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M05</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Ouverture checklist et kit</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Deux actions enregistrées sans réponses détaillées</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Inspection charge utile</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M06</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Téléchargement PDF</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1 téléchargement rattaché au type de document</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Export événement</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M07</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QR code partenaire</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Campagne correctement attribuée</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URL + tableau de bord</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M08</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Lien direct</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Catégorie « accès direct » utilisée</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Export campagne</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M09</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Suppression du stockage local</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Identifiant et résultats locaux effacés</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Test navigateur</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M10</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Inspection réseau</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Aucun nom, réponse détaillée ou IP en clair dans la charge utile</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Capture technique</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M11</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Erreur simulée</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Erreur visible dans le suivi qualité sans donnée personnelle</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Journal technique</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À exécuter</w:t>
            </w:r>
          </w:p>
        </w:tc>
      </w:tr>
      <w:tr>
        <w:trPr>
          <w:trHeight w:hRule="atLeast"/>
        </w:trPr>
        <w:tc>
          <w:tcPr>
            <w:tcW w:type="dxa" w:w="6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M12</w:t>
            </w:r>
          </w:p>
        </w:tc>
        <w:tc>
          <w:tcPr>
            <w:tcW w:type="dxa" w:w="260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Export mensuel</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Totaux cohérents avec les événements de test</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Fichier d’export</w:t>
            </w:r>
          </w:p>
        </w:tc>
        <w:tc>
          <w:tcPr>
            <w:tcW w:type="dxa" w:w="158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À exécuter</w:t>
            </w:r>
          </w:p>
        </w:tc>
      </w:tr>
    </w:tbl>
    <w:p>
      <w:pPr>
        <w:spacing w:before="120" w:after="60" w:line="240" w:lineRule="auto"/>
      </w:pPr>
      <w:r>
        <w:rPr>
          <w:rFonts w:ascii="Arial" w:hAnsi="Arial" w:eastAsia="Arial"/>
          <w:b/>
          <w:i w:val="0"/>
          <w:color w:val="008A7A"/>
          <w:sz w:val="22"/>
        </w:rPr>
        <w:t>Conditions de mise en service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Tous les événements obligatoires sont testés sur mobile et ordinateur.</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 compteur principal ne se déclenche jamais sur une simple page vue.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Les campagnes sont correctement attribuées et les accès directs restent distincts.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Les charges utiles ne contiennent pas de donnée nominative ni de réponses détaillées.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Les règles de conservation, d’accès et d’effacement sont documentées.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 tableau de bord affiche la période, la date d’extraction et les volumes bruts.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Aucune anomalie bloquante de comptage ou de confidentialité ne reste ouverte.</w:t>
      </w:r>
    </w:p>
    <w:tbl>
      <w:tblPr>
        <w:tblW w:type="auto" w:w="0"/>
        <w:jc w:val="center"/>
        <w:tblLayout w:type="fixed"/>
        <w:tblLook w:firstColumn="1" w:firstRow="1" w:lastColumn="0" w:lastRow="0" w:noHBand="0" w:noVBand="1" w:val="04A0"/>
      </w:tblPr>
      <w:tblGrid>
        <w:gridCol w:w="198"/>
        <w:gridCol w:w="10035"/>
      </w:tblGrid>
      <w:tr>
        <w:tc>
          <w:tcPr>
            <w:tcW w:type="dxa" w:w="5188"/>
            <w:shd w:fill="C64242"/>
            <w:tcMar>
              <w:top w:w="60" w:type="dxa"/>
              <w:start w:w="40" w:type="dxa"/>
              <w:bottom w:w="60" w:type="dxa"/>
              <w:end w:w="40" w:type="dxa"/>
            </w:tcMar>
          </w:tcPr>
          <w:p/>
        </w:tc>
        <w:tc>
          <w:tcPr>
            <w:tcW w:type="dxa" w:w="5188"/>
            <w:shd w:fill="FDEEEE"/>
            <w:tcMar>
              <w:top w:w="105" w:type="dxa"/>
              <w:start w:w="150" w:type="dxa"/>
              <w:bottom w:w="105" w:type="dxa"/>
              <w:end w:w="150" w:type="dxa"/>
            </w:tcMar>
          </w:tcPr>
          <w:p>
            <w:pPr>
              <w:spacing w:before="0" w:after="20" w:line="240" w:lineRule="auto"/>
            </w:pPr>
            <w:r>
              <w:rPr>
                <w:rFonts w:ascii="Arial" w:hAnsi="Arial" w:eastAsia="Arial"/>
                <w:b/>
                <w:i w:val="0"/>
                <w:color w:val="C64242"/>
                <w:sz w:val="20"/>
              </w:rPr>
              <w:t>Décision de recette</w:t>
            </w:r>
          </w:p>
          <w:p>
            <w:pPr>
              <w:spacing w:before="0" w:after="0" w:line="257" w:lineRule="auto"/>
            </w:pPr>
            <w:r>
              <w:rPr>
                <w:rFonts w:ascii="Arial" w:hAnsi="Arial" w:eastAsia="Arial"/>
                <w:b w:val="0"/>
                <w:i w:val="0"/>
                <w:color w:val="13253A"/>
                <w:sz w:val="18"/>
              </w:rPr>
              <w:t>L’instrumentation sera déclarée prête uniquement après exécution des tests et conservation de leurs preuves. Le présent document définit le protocole ; il ne vaut pas encore procès-verbal de recette.</w:t>
            </w:r>
          </w:p>
        </w:tc>
      </w:tr>
    </w:tbl>
    <w:p>
      <w:pPr>
        <w:spacing w:after="20"/>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10</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6"/>
              </w:rPr>
              <w:t>Trame du bilan final d’impact</w:t>
            </w:r>
          </w:p>
          <w:p>
            <w:pPr>
              <w:spacing w:before="40" w:after="0" w:line="240" w:lineRule="auto"/>
            </w:pPr>
            <w:r>
              <w:rPr>
                <w:rFonts w:ascii="Arial" w:hAnsi="Arial" w:eastAsia="Arial"/>
                <w:b w:val="0"/>
                <w:i w:val="0"/>
                <w:color w:val="D8E7F2"/>
                <w:sz w:val="17"/>
              </w:rPr>
              <w:t>Présenter des résultats exacts, nuancés et actionnables</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Tableau de synthèse à compléter</w:t>
      </w:r>
    </w:p>
    <w:tbl>
      <w:tblPr>
        <w:tblW w:type="auto" w:w="0"/>
        <w:jc w:val="center"/>
        <w:tblLayout w:type="fixed"/>
        <w:tblLook w:firstColumn="1" w:firstRow="1" w:lastColumn="0" w:lastRow="0" w:noHBand="0" w:noVBand="1" w:val="04A0"/>
      </w:tblPr>
      <w:tblGrid>
        <w:gridCol w:w="2075"/>
        <w:gridCol w:w="2075"/>
        <w:gridCol w:w="2075"/>
        <w:gridCol w:w="2075"/>
        <w:gridCol w:w="2075"/>
      </w:tblGrid>
      <w:tr>
        <w:trPr>
          <w:trHeight w:hRule="atLeast"/>
          <w:tblHeader w:val="true"/>
        </w:trPr>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Résultat</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Objectif</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Réalisé</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Écart</w:t>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Commentaire</w:t>
            </w:r>
          </w:p>
        </w:tc>
      </w:tr>
      <w:tr>
        <w:trPr>
          <w:trHeight w:hRule="atLeast"/>
        </w:trPr>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Visiteurs engagés uniques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5 000</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À renseigner après extraction finale</w:t>
            </w:r>
          </w:p>
        </w:tc>
      </w:tr>
      <w:tr>
        <w:trPr>
          <w:trHeight w:hRule="atLeast"/>
        </w:trPr>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Parcours commencés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Par module</w:t>
            </w:r>
          </w:p>
        </w:tc>
      </w:tr>
      <w:tr>
        <w:trPr>
          <w:trHeight w:hRule="atLeast"/>
        </w:trPr>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Parcours terminés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Volume et taux de complétion</w:t>
            </w:r>
          </w:p>
        </w:tc>
      </w:tr>
      <w:tr>
        <w:trPr>
          <w:trHeight w:hRule="atLeast"/>
        </w:trPr>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Plans / checklists / kits générés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Passage à l’action</w:t>
            </w:r>
          </w:p>
        </w:tc>
      </w:tr>
      <w:tr>
        <w:trPr>
          <w:trHeight w:hRule="atLeast"/>
        </w:trPr>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Attestations générées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Sans valeur de certification</w:t>
            </w:r>
          </w:p>
        </w:tc>
      </w:tr>
      <w:tr>
        <w:trPr>
          <w:trHeight w:hRule="atLeast"/>
        </w:trPr>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Campagnes partenaires actives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Structures et canaux</w:t>
            </w:r>
          </w:p>
        </w:tc>
      </w:tr>
      <w:tr>
        <w:trPr>
          <w:trHeight w:hRule="atLeast"/>
        </w:trPr>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Retours utilisateurs reçus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Thèmes principaux</w:t>
            </w:r>
          </w:p>
        </w:tc>
      </w:tr>
      <w:tr>
        <w:trPr>
          <w:trHeight w:hRule="atLeast"/>
        </w:trPr>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Disponibilité du service</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Période mesurée</w:t>
            </w:r>
          </w:p>
        </w:tc>
      </w:tr>
    </w:tbl>
    <w:p>
      <w:pPr>
        <w:spacing w:before="120" w:after="60" w:line="240" w:lineRule="auto"/>
        <w:pBdr>
          <w:bottom w:val="single" w:sz="10" w:space="2" w:color="008A7A"/>
        </w:pBdr>
      </w:pPr>
      <w:r>
        <w:rPr>
          <w:rFonts w:ascii="Arial" w:hAnsi="Arial" w:eastAsia="Arial"/>
          <w:b/>
          <w:i w:val="0"/>
          <w:color w:val="0B2D4F"/>
          <w:sz w:val="28"/>
        </w:rPr>
        <w:t>Plan du commentaire final</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1. Résultat global : </w:t>
      </w:r>
      <w:r>
        <w:rPr>
          <w:rFonts w:ascii="Arial" w:hAnsi="Arial" w:eastAsia="Arial"/>
          <w:b w:val="0"/>
          <w:i w:val="0"/>
          <w:color w:val="13253A"/>
          <w:sz w:val="18"/>
        </w:rPr>
        <w:t>niveau d’atteinte de l’objectif, période et méthode de comptage.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2. Engagement : </w:t>
      </w:r>
      <w:r>
        <w:rPr>
          <w:rFonts w:ascii="Arial" w:hAnsi="Arial" w:eastAsia="Arial"/>
          <w:b w:val="0"/>
          <w:i w:val="0"/>
          <w:color w:val="13253A"/>
          <w:sz w:val="18"/>
        </w:rPr>
        <w:t>modules commencés, taux de complétion et durée des parcours.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3. Passage à l’action : </w:t>
      </w:r>
      <w:r>
        <w:rPr>
          <w:rFonts w:ascii="Arial" w:hAnsi="Arial" w:eastAsia="Arial"/>
          <w:b w:val="0"/>
          <w:i w:val="0"/>
          <w:color w:val="13253A"/>
          <w:sz w:val="18"/>
        </w:rPr>
        <w:t>plans, checklists, kits et attestations générés.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4. Diffusion : </w:t>
      </w:r>
      <w:r>
        <w:rPr>
          <w:rFonts w:ascii="Arial" w:hAnsi="Arial" w:eastAsia="Arial"/>
          <w:b w:val="0"/>
          <w:i w:val="0"/>
          <w:color w:val="13253A"/>
          <w:sz w:val="18"/>
        </w:rPr>
        <w:t>campagnes les plus contributrices et publics difficiles à atteindre.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5. Qualité : </w:t>
      </w:r>
      <w:r>
        <w:rPr>
          <w:rFonts w:ascii="Arial" w:hAnsi="Arial" w:eastAsia="Arial"/>
          <w:b w:val="0"/>
          <w:i w:val="0"/>
          <w:color w:val="13253A"/>
          <w:sz w:val="18"/>
        </w:rPr>
        <w:t>incidents, corrections, retours et disponibilité.</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6. Limites : </w:t>
      </w:r>
      <w:r>
        <w:rPr>
          <w:rFonts w:ascii="Arial" w:hAnsi="Arial" w:eastAsia="Arial"/>
          <w:b w:val="0"/>
          <w:i w:val="0"/>
          <w:color w:val="13253A"/>
          <w:sz w:val="18"/>
        </w:rPr>
        <w:t>déduplication par navigateur, changements d’appareil, couverture des campagnes et éventuelles données manquantes.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7. Suites : </w:t>
      </w:r>
      <w:r>
        <w:rPr>
          <w:rFonts w:ascii="Arial" w:hAnsi="Arial" w:eastAsia="Arial"/>
          <w:b w:val="0"/>
          <w:i w:val="0"/>
          <w:color w:val="13253A"/>
          <w:sz w:val="18"/>
        </w:rPr>
        <w:t>améliorations, maintien de la plateforme et nouvelles collaborations.</w:t>
      </w:r>
    </w:p>
    <w:p>
      <w:pPr>
        <w:spacing w:before="120" w:after="60" w:line="240" w:lineRule="auto"/>
        <w:pBdr>
          <w:bottom w:val="single" w:sz="10" w:space="2" w:color="008A7A"/>
        </w:pBdr>
      </w:pPr>
      <w:r>
        <w:rPr>
          <w:rFonts w:ascii="Arial" w:hAnsi="Arial" w:eastAsia="Arial"/>
          <w:b/>
          <w:i w:val="0"/>
          <w:color w:val="0B2D4F"/>
          <w:sz w:val="28"/>
        </w:rPr>
        <w:t>Livrables associés au bilan</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94"/>
            <w:shd w:fill="F4F8FA"/>
            <w:tcMar>
              <w:top w:w="100" w:type="dxa"/>
              <w:start w:w="80" w:type="dxa"/>
              <w:bottom w:w="100" w:type="dxa"/>
              <w:end w:w="80" w:type="dxa"/>
            </w:tcMar>
            <w:tcBorders>
              <w:top w:val="single" w:sz="7" w:color="0B2D4F"/>
              <w:bottom w:val="single" w:sz="4" w:color="D6E1E8"/>
              <w:left w:val="single" w:sz="4" w:color="D6E1E8"/>
              <w:right w:val="single" w:sz="4" w:color="D6E1E8"/>
            </w:tcBorders>
          </w:tcPr>
          <w:p>
            <w:pPr>
              <w:jc w:val="center"/>
            </w:pPr>
            <w:r>
              <w:rPr>
                <w:rFonts w:ascii="Arial" w:hAnsi="Arial" w:eastAsia="Arial"/>
                <w:b/>
                <w:i w:val="0"/>
                <w:color w:val="5F6B76"/>
                <w:sz w:val="15"/>
              </w:rPr>
              <w:t>MÉTHODE</w:t>
            </w:r>
          </w:p>
          <w:p>
            <w:pPr>
              <w:spacing w:before="80" w:after="20" w:line="240" w:lineRule="auto"/>
              <w:jc w:val="center"/>
            </w:pPr>
            <w:r>
              <w:rPr>
                <w:rFonts w:ascii="Arial" w:hAnsi="Arial" w:eastAsia="Arial"/>
                <w:b/>
                <w:i w:val="0"/>
                <w:color w:val="0B2D4F"/>
                <w:sz w:val="34"/>
              </w:rPr>
              <w:t>1 note</w:t>
            </w:r>
          </w:p>
          <w:p>
            <w:pPr>
              <w:spacing w:before="0" w:after="0" w:line="240" w:lineRule="auto"/>
              <w:jc w:val="center"/>
            </w:pPr>
            <w:r>
              <w:rPr>
                <w:rFonts w:ascii="Arial" w:hAnsi="Arial" w:eastAsia="Arial"/>
                <w:b w:val="0"/>
                <w:i w:val="0"/>
                <w:color w:val="13253A"/>
                <w:sz w:val="14"/>
              </w:rPr>
              <w:t>définitions et limites</w:t>
            </w:r>
          </w:p>
        </w:tc>
        <w:tc>
          <w:tcPr>
            <w:tcW w:type="dxa" w:w="2594"/>
            <w:shd w:fill="F4F8FA"/>
            <w:tcMar>
              <w:top w:w="100" w:type="dxa"/>
              <w:start w:w="80" w:type="dxa"/>
              <w:bottom w:w="100" w:type="dxa"/>
              <w:end w:w="80" w:type="dxa"/>
            </w:tcMar>
            <w:tcBorders>
              <w:top w:val="single" w:sz="7" w:color="008A7A"/>
              <w:bottom w:val="single" w:sz="4" w:color="D6E1E8"/>
              <w:left w:val="single" w:sz="4" w:color="D6E1E8"/>
              <w:right w:val="single" w:sz="4" w:color="D6E1E8"/>
            </w:tcBorders>
          </w:tcPr>
          <w:p>
            <w:pPr>
              <w:jc w:val="center"/>
            </w:pPr>
            <w:r>
              <w:rPr>
                <w:rFonts w:ascii="Arial" w:hAnsi="Arial" w:eastAsia="Arial"/>
                <w:b/>
                <w:i w:val="0"/>
                <w:color w:val="5F6B76"/>
                <w:sz w:val="15"/>
              </w:rPr>
              <w:t>RÉSULTATS</w:t>
            </w:r>
          </w:p>
          <w:p>
            <w:pPr>
              <w:spacing w:before="80" w:after="20" w:line="240" w:lineRule="auto"/>
              <w:jc w:val="center"/>
            </w:pPr>
            <w:r>
              <w:rPr>
                <w:rFonts w:ascii="Arial" w:hAnsi="Arial" w:eastAsia="Arial"/>
                <w:b/>
                <w:i w:val="0"/>
                <w:color w:val="008A7A"/>
                <w:sz w:val="34"/>
              </w:rPr>
              <w:t>1 export</w:t>
            </w:r>
          </w:p>
          <w:p>
            <w:pPr>
              <w:spacing w:before="0" w:after="0" w:line="240" w:lineRule="auto"/>
              <w:jc w:val="center"/>
            </w:pPr>
            <w:r>
              <w:rPr>
                <w:rFonts w:ascii="Arial" w:hAnsi="Arial" w:eastAsia="Arial"/>
                <w:b w:val="0"/>
                <w:i w:val="0"/>
                <w:color w:val="13253A"/>
                <w:sz w:val="14"/>
              </w:rPr>
              <w:t>agrégé et daté</w:t>
            </w:r>
          </w:p>
        </w:tc>
        <w:tc>
          <w:tcPr>
            <w:tcW w:type="dxa" w:w="2594"/>
            <w:shd w:fill="F4F8FA"/>
            <w:tcMar>
              <w:top w:w="100" w:type="dxa"/>
              <w:start w:w="80" w:type="dxa"/>
              <w:bottom w:w="100" w:type="dxa"/>
              <w:end w:w="80" w:type="dxa"/>
            </w:tcMar>
            <w:tcBorders>
              <w:top w:val="single" w:sz="7" w:color="F28C28"/>
              <w:bottom w:val="single" w:sz="4" w:color="D6E1E8"/>
              <w:left w:val="single" w:sz="4" w:color="D6E1E8"/>
              <w:right w:val="single" w:sz="4" w:color="D6E1E8"/>
            </w:tcBorders>
          </w:tcPr>
          <w:p>
            <w:pPr>
              <w:jc w:val="center"/>
            </w:pPr>
            <w:r>
              <w:rPr>
                <w:rFonts w:ascii="Arial" w:hAnsi="Arial" w:eastAsia="Arial"/>
                <w:b/>
                <w:i w:val="0"/>
                <w:color w:val="5F6B76"/>
                <w:sz w:val="15"/>
              </w:rPr>
              <w:t>VISUEL</w:t>
            </w:r>
          </w:p>
          <w:p>
            <w:pPr>
              <w:spacing w:before="80" w:after="20" w:line="240" w:lineRule="auto"/>
              <w:jc w:val="center"/>
            </w:pPr>
            <w:r>
              <w:rPr>
                <w:rFonts w:ascii="Arial" w:hAnsi="Arial" w:eastAsia="Arial"/>
                <w:b/>
                <w:i w:val="0"/>
                <w:color w:val="F28C28"/>
                <w:sz w:val="34"/>
              </w:rPr>
              <w:t>1 tableau de bord</w:t>
            </w:r>
          </w:p>
          <w:p>
            <w:pPr>
              <w:spacing w:before="0" w:after="0" w:line="240" w:lineRule="auto"/>
              <w:jc w:val="center"/>
            </w:pPr>
            <w:r>
              <w:rPr>
                <w:rFonts w:ascii="Arial" w:hAnsi="Arial" w:eastAsia="Arial"/>
                <w:b w:val="0"/>
                <w:i w:val="0"/>
                <w:color w:val="13253A"/>
                <w:sz w:val="14"/>
              </w:rPr>
              <w:t>captures finales</w:t>
            </w:r>
          </w:p>
        </w:tc>
        <w:tc>
          <w:tcPr>
            <w:tcW w:type="dxa" w:w="2594"/>
            <w:shd w:fill="F4F8FA"/>
            <w:tcMar>
              <w:top w:w="100" w:type="dxa"/>
              <w:start w:w="80" w:type="dxa"/>
              <w:bottom w:w="100" w:type="dxa"/>
              <w:end w:w="80" w:type="dxa"/>
            </w:tcMar>
            <w:tcBorders>
              <w:top w:val="single" w:sz="7" w:color="18A999"/>
              <w:bottom w:val="single" w:sz="4" w:color="D6E1E8"/>
              <w:left w:val="single" w:sz="4" w:color="D6E1E8"/>
              <w:right w:val="single" w:sz="4" w:color="D6E1E8"/>
            </w:tcBorders>
          </w:tcPr>
          <w:p>
            <w:pPr>
              <w:jc w:val="center"/>
            </w:pPr>
            <w:r>
              <w:rPr>
                <w:rFonts w:ascii="Arial" w:hAnsi="Arial" w:eastAsia="Arial"/>
                <w:b/>
                <w:i w:val="0"/>
                <w:color w:val="5F6B76"/>
                <w:sz w:val="15"/>
              </w:rPr>
              <w:t>TRAÇABILITÉ</w:t>
            </w:r>
          </w:p>
          <w:p>
            <w:pPr>
              <w:spacing w:before="80" w:after="20" w:line="240" w:lineRule="auto"/>
              <w:jc w:val="center"/>
            </w:pPr>
            <w:r>
              <w:rPr>
                <w:rFonts w:ascii="Arial" w:hAnsi="Arial" w:eastAsia="Arial"/>
                <w:b/>
                <w:i w:val="0"/>
                <w:color w:val="18A999"/>
                <w:sz w:val="34"/>
              </w:rPr>
              <w:t>1 journal</w:t>
            </w:r>
          </w:p>
          <w:p>
            <w:pPr>
              <w:spacing w:before="0" w:after="0" w:line="240" w:lineRule="auto"/>
              <w:jc w:val="center"/>
            </w:pPr>
            <w:r>
              <w:rPr>
                <w:rFonts w:ascii="Arial" w:hAnsi="Arial" w:eastAsia="Arial"/>
                <w:b w:val="0"/>
                <w:i w:val="0"/>
                <w:color w:val="13253A"/>
                <w:sz w:val="14"/>
              </w:rPr>
              <w:t>décisions et corrections</w:t>
            </w:r>
          </w:p>
        </w:tc>
      </w:tr>
    </w:tbl>
    <w:tbl>
      <w:tblPr>
        <w:tblW w:type="auto" w:w="0"/>
        <w:jc w:val="center"/>
        <w:tblLayout w:type="fixed"/>
        <w:tblLook w:firstColumn="1" w:firstRow="1" w:lastColumn="0" w:lastRow="0" w:noHBand="0" w:noVBand="1" w:val="04A0"/>
      </w:tblPr>
      <w:tblGrid>
        <w:gridCol w:w="198"/>
        <w:gridCol w:w="10035"/>
      </w:tblGrid>
      <w:tr>
        <w:tc>
          <w:tcPr>
            <w:tcW w:type="dxa" w:w="5188"/>
            <w:shd w:fill="008A7A"/>
            <w:tcMar>
              <w:top w:w="60" w:type="dxa"/>
              <w:start w:w="40" w:type="dxa"/>
              <w:bottom w:w="60" w:type="dxa"/>
              <w:end w:w="40" w:type="dxa"/>
            </w:tcMar>
          </w:tcPr>
          <w:p/>
        </w:tc>
        <w:tc>
          <w:tcPr>
            <w:tcW w:type="dxa" w:w="5188"/>
            <w:shd w:fill="EEF7F6"/>
            <w:tcMar>
              <w:top w:w="105" w:type="dxa"/>
              <w:start w:w="150" w:type="dxa"/>
              <w:bottom w:w="105" w:type="dxa"/>
              <w:end w:w="150" w:type="dxa"/>
            </w:tcMar>
          </w:tcPr>
          <w:p>
            <w:pPr>
              <w:spacing w:before="0" w:after="20" w:line="240" w:lineRule="auto"/>
            </w:pPr>
            <w:r>
              <w:rPr>
                <w:rFonts w:ascii="Arial" w:hAnsi="Arial" w:eastAsia="Arial"/>
                <w:b/>
                <w:i w:val="0"/>
                <w:color w:val="008A7A"/>
                <w:sz w:val="20"/>
              </w:rPr>
              <w:t>Engagement du porteur</w:t>
            </w:r>
          </w:p>
          <w:p>
            <w:pPr>
              <w:spacing w:before="0" w:after="0" w:line="257" w:lineRule="auto"/>
            </w:pPr>
            <w:r>
              <w:rPr>
                <w:rFonts w:ascii="Arial" w:hAnsi="Arial" w:eastAsia="Arial"/>
                <w:b w:val="0"/>
                <w:i w:val="0"/>
                <w:color w:val="13253A"/>
                <w:sz w:val="18"/>
              </w:rPr>
              <w:t>GT SAS s’engage à distinguer les objectifs des résultats réels, à publier les limites méthodologiques utiles à leur interprétation et à ne pas surévaluer l’impact du projet à partir de simples impressions ou pages vues.</w:t>
            </w:r>
          </w:p>
        </w:tc>
      </w:tr>
    </w:tbl>
    <w:p>
      <w:pPr>
        <w:spacing w:after="20"/>
      </w:pPr>
    </w:p>
    <w:p>
      <w:pPr>
        <w:spacing w:before="120" w:after="60" w:line="240" w:lineRule="auto"/>
      </w:pPr>
      <w:r>
        <w:rPr>
          <w:rFonts w:ascii="Arial" w:hAnsi="Arial" w:eastAsia="Arial"/>
          <w:b/>
          <w:i w:val="0"/>
          <w:color w:val="008A7A"/>
          <w:sz w:val="22"/>
        </w:rPr>
        <w:t>Documents de référence du dossier</w:t>
      </w:r>
    </w:p>
    <w:p>
      <w:pPr>
        <w:spacing w:before="0" w:after="40" w:line="250" w:lineRule="auto"/>
        <w:ind w:left="198" w:hanging="142"/>
      </w:pPr>
      <w:r>
        <w:rPr>
          <w:rFonts w:ascii="Arial" w:hAnsi="Arial" w:eastAsia="Arial"/>
          <w:b/>
          <w:i w:val="0"/>
          <w:color w:val="008A7A"/>
          <w:sz w:val="17"/>
        </w:rPr>
        <w:t xml:space="preserve">• </w:t>
      </w:r>
      <w:r>
        <w:rPr>
          <w:rFonts w:ascii="Arial" w:hAnsi="Arial" w:eastAsia="Arial"/>
          <w:b w:val="0"/>
          <w:i w:val="0"/>
          <w:color w:val="13253A"/>
          <w:sz w:val="17"/>
        </w:rPr>
        <w:t>Pièce 01 - Dossier de présentation, section « Déploiement, calendrier et mesure de l’impact ».</w:t>
      </w:r>
    </w:p>
    <w:p>
      <w:pPr>
        <w:spacing w:before="0" w:after="40" w:line="250" w:lineRule="auto"/>
        <w:ind w:left="198" w:hanging="142"/>
      </w:pPr>
      <w:r>
        <w:rPr>
          <w:rFonts w:ascii="Arial" w:hAnsi="Arial" w:eastAsia="Arial"/>
          <w:b/>
          <w:i w:val="0"/>
          <w:color w:val="008A7A"/>
          <w:sz w:val="17"/>
        </w:rPr>
        <w:t xml:space="preserve">• </w:t>
      </w:r>
      <w:r>
        <w:rPr>
          <w:rFonts w:ascii="Arial" w:hAnsi="Arial" w:eastAsia="Arial"/>
          <w:b w:val="0"/>
          <w:i w:val="0"/>
          <w:color w:val="13253A"/>
          <w:sz w:val="17"/>
        </w:rPr>
        <w:t>Pièce 03 - Conformité, sources, accessibilité et impact, section « Mesure de l’impact et justification de l’objectif ».</w:t>
      </w:r>
    </w:p>
    <w:p>
      <w:pPr>
        <w:spacing w:before="0" w:after="40" w:line="250" w:lineRule="auto"/>
        <w:ind w:left="198" w:hanging="142"/>
      </w:pPr>
      <w:r>
        <w:rPr>
          <w:rFonts w:ascii="Arial" w:hAnsi="Arial" w:eastAsia="Arial"/>
          <w:b/>
          <w:i w:val="0"/>
          <w:color w:val="008A7A"/>
          <w:sz w:val="17"/>
        </w:rPr>
        <w:t xml:space="preserve">• </w:t>
      </w:r>
      <w:r>
        <w:rPr>
          <w:rFonts w:ascii="Arial" w:hAnsi="Arial" w:eastAsia="Arial"/>
          <w:b w:val="0"/>
          <w:i w:val="0"/>
          <w:color w:val="13253A"/>
          <w:sz w:val="17"/>
        </w:rPr>
        <w:t>Pièce 07 - Plan de diffusion et de mobilisation de 5 000 personnes.</w:t>
      </w:r>
    </w:p>
    <w:p>
      <w:pPr>
        <w:spacing w:before="0" w:after="40" w:line="250" w:lineRule="auto"/>
        <w:ind w:left="198" w:hanging="142"/>
      </w:pPr>
      <w:r>
        <w:rPr>
          <w:rFonts w:ascii="Arial" w:hAnsi="Arial" w:eastAsia="Arial"/>
          <w:b/>
          <w:i w:val="0"/>
          <w:color w:val="008A7A"/>
          <w:sz w:val="17"/>
        </w:rPr>
        <w:t xml:space="preserve">• </w:t>
      </w:r>
      <w:r>
        <w:rPr>
          <w:rFonts w:ascii="Arial" w:hAnsi="Arial" w:eastAsia="Arial"/>
          <w:b w:val="0"/>
          <w:i w:val="0"/>
          <w:color w:val="13253A"/>
          <w:sz w:val="17"/>
        </w:rPr>
        <w:t>Pièce 08 - Dossier de collecte des soutiens et preuves d’intérêt.</w:t>
      </w:r>
    </w:p>
    <w:sectPr w:rsidR="00FC693F" w:rsidRPr="0006063C" w:rsidSect="00034616">
      <w:headerReference w:type="default" r:id="rId9"/>
      <w:footerReference w:type="default" r:id="rId10"/>
      <w:pgSz w:w="11906" w:h="16838"/>
      <w:pgMar w:top="709" w:right="765" w:bottom="737" w:left="765"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02"/>
      <w:gridCol w:w="3402"/>
      <w:gridCol w:w="3402"/>
    </w:tblGrid>
    <w:tr>
      <w:tc>
        <w:tcPr>
          <w:tcW w:type="dxa" w:w="3402"/>
        </w:tcPr>
        <w:p>
          <w:r>
            <w:rPr>
              <w:rFonts w:ascii="Arial" w:hAnsi="Arial" w:eastAsia="Arial"/>
              <w:b/>
              <w:i w:val="0"/>
              <w:color w:val="71808C"/>
              <w:sz w:val="15"/>
            </w:rPr>
            <w:t>GT SAS</w:t>
          </w:r>
        </w:p>
      </w:tc>
      <w:tc>
        <w:tcPr>
          <w:tcW w:type="dxa" w:w="3402"/>
        </w:tcPr>
        <w:p>
          <w:pPr>
            <w:jc w:val="center"/>
          </w:pPr>
          <w:r>
            <w:rPr>
              <w:rFonts w:ascii="Arial" w:hAnsi="Arial" w:eastAsia="Arial"/>
              <w:b w:val="0"/>
              <w:i w:val="0"/>
              <w:color w:val="71808C"/>
              <w:sz w:val="15"/>
            </w:rPr>
            <w:t>JNR 2026</w:t>
          </w:r>
        </w:p>
      </w:tc>
      <w:tc>
        <w:tcPr>
          <w:tcW w:type="dxa" w:w="3402"/>
        </w:tcPr>
        <w:p>
          <w:pPr>
            <w:jc w:val="right"/>
          </w:pPr>
          <w:r>
            <w:rPr>
              <w:rFonts w:ascii="Arial" w:hAnsi="Arial" w:eastAsia="Arial"/>
              <w:b w:val="0"/>
              <w:i w:val="0"/>
              <w:color w:val="7A8793"/>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71808C"/>
        <w:sz w:val="15"/>
      </w:rPr>
      <w:t>MON PLAN RÉSILIENCE 976  |  MESURE D’IMPACT ET TABLEAU DE BORD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325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Dispositif de mesure statistique et tableau de bord d’impact - Mon Plan Résilience 976</dc:title>
  <dc:subject>Pièce complémentaire JNR 2026</dc:subject>
  <dc:creator>GT SAS</dc:creator>
  <cp:keywords>JNR 2026, Mayotte, résilience, mesure impact, statistiques, tableau de bord</cp:keywords>
  <dc:description>generated by python-docx</dc:description>
  <cp:lastModifiedBy/>
  <cp:revision>1</cp:revision>
  <dcterms:created xsi:type="dcterms:W3CDTF">2013-12-23T23:15:00Z</dcterms:created>
  <dcterms:modified xsi:type="dcterms:W3CDTF">2013-12-23T23:15:00Z</dcterms:modified>
  <cp:category/>
</cp:coreProperties>
</file>