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488"/>
      </w:tblGrid>
      <w:tr>
        <w:tc>
          <w:tcPr>
            <w:tcW w:type="dxa" w:w="10488"/>
            <w:shd w:fill="12345B"/>
            <w:tcMar>
              <w:top w:w="70" w:type="dxa"/>
              <w:start w:w="400" w:type="dxa"/>
              <w:bottom w:w="70" w:type="dxa"/>
              <w:end w:w="400" w:type="dxa"/>
              <w:left w:w="100" w:type="dxa"/>
              <w:right w:w="100" w:type="dxa"/>
            </w:tcMar>
            <w:vAlign w:val="center"/>
          </w:tcPr>
          <w:p>
            <w:pPr>
              <w:spacing w:line="240" w:lineRule="auto" w:after="60"/>
              <w:jc w:val="left"/>
            </w:pPr>
            <w:r>
              <w:rPr>
                <w:rFonts w:ascii="Arial" w:hAnsi="Arial" w:eastAsia="Arial" w:cs="Arial"/>
                <w:b/>
                <w:color w:val="FFFFFF"/>
                <w:sz w:val="68"/>
              </w:rPr>
              <w:t>MON PLAN</w:t>
              <w:br/>
              <w:t>RÉSILIENCE 976</w:t>
            </w:r>
          </w:p>
          <w:p>
            <w:pPr>
              <w:spacing w:before="160" w:line="240" w:lineRule="auto" w:after="60"/>
            </w:pPr>
            <w:r>
              <w:rPr>
                <w:rFonts w:ascii="Arial" w:hAnsi="Arial" w:eastAsia="Arial" w:cs="Arial"/>
                <w:b/>
                <w:color w:val="D9EDF5"/>
                <w:sz w:val="30"/>
              </w:rPr>
              <w:t>Plateforme numérique de préparation aux risques majeurs à Mayotte</w:t>
            </w:r>
          </w:p>
          <w:p>
            <w:pPr>
              <w:spacing w:before="300" w:after="60" w:line="240" w:lineRule="auto"/>
            </w:pPr>
            <w:r>
              <w:rPr>
                <w:rFonts w:ascii="Arial" w:hAnsi="Arial" w:eastAsia="Arial" w:cs="Arial"/>
                <w:b/>
                <w:color w:val="F4C542"/>
                <w:sz w:val="19"/>
              </w:rPr>
              <w:t>DOSSIER DE PRÉSENTATION - JOURNÉE NATIONALE DE LA RÉSILIENCE 2026</w:t>
            </w:r>
          </w:p>
        </w:tc>
      </w:tr>
    </w:tbl>
    <w:p>
      <w:pPr>
        <w:spacing w:line="240" w:lineRule="auto" w:after="60"/>
      </w:pPr>
    </w:p>
    <w:tbl>
      <w:tblPr>
        <w:tblW w:type="auto" w:w="0"/>
        <w:jc w:val="center"/>
        <w:tblLayout w:type="autofit"/>
        <w:tblLook w:firstColumn="1" w:firstRow="1" w:lastColumn="0" w:lastRow="0" w:noHBand="0" w:noVBand="1" w:val="04A0"/>
      </w:tblPr>
      <w:tblGrid>
        <w:gridCol w:w="7087"/>
        <w:gridCol w:w="3118"/>
      </w:tblGrid>
      <w:tr>
        <w:tc>
          <w:tcPr>
            <w:tcW w:type="dxa" w:w="5244"/>
            <w:tcMar>
              <w:top w:w="70" w:type="dxa"/>
              <w:start w:w="130" w:type="dxa"/>
              <w:bottom w:w="70" w:type="dxa"/>
              <w:end w:w="130" w:type="dxa"/>
              <w:left w:w="100" w:type="dxa"/>
              <w:right w:w="100" w:type="dxa"/>
            </w:tcMar>
            <w:tcBorders>
              <w:top w:val="nil"/>
              <w:left w:val="nil"/>
              <w:bottom w:val="nil"/>
              <w:right w:val="nil"/>
            </w:tcBorders>
            <w:shd w:fill="F2F7FA"/>
            <w:vAlign w:val="center"/>
          </w:tcPr>
          <w:p>
            <w:pPr>
              <w:spacing w:line="240" w:lineRule="auto" w:after="60"/>
            </w:pPr>
            <w:r>
              <w:rPr>
                <w:rFonts w:ascii="Arial" w:hAnsi="Arial" w:eastAsia="Arial" w:cs="Arial"/>
                <w:b/>
                <w:color w:val="0B2D4F"/>
                <w:sz w:val="30"/>
              </w:rPr>
              <w:t>Une démarche simple et immédiatement utile</w:t>
            </w:r>
          </w:p>
          <w:p>
            <w:pPr>
              <w:spacing w:before="160" w:line="240" w:lineRule="auto" w:after="60"/>
            </w:pPr>
            <w:r>
              <w:rPr>
                <w:rFonts w:ascii="Arial" w:hAnsi="Arial" w:eastAsia="Arial" w:cs="Arial"/>
                <w:color w:val="13253A"/>
                <w:sz w:val="22"/>
              </w:rPr>
              <w:t>En 5 à 10 minutes, chaque utilisateur évalue la préparation de son foyer et reçoit un plan d'actions personnalisé, une checklist et une liste de kit d'urgence adaptées aux risques majeurs.</w:t>
            </w:r>
          </w:p>
          <w:p>
            <w:pPr>
              <w:spacing w:before="240" w:line="240" w:lineRule="auto" w:after="60"/>
            </w:pPr>
            <w:r>
              <w:rPr>
                <w:rFonts w:ascii="Arial" w:hAnsi="Arial" w:eastAsia="Arial" w:cs="Arial"/>
                <w:b/>
                <w:color w:val="008A7A"/>
                <w:sz w:val="19"/>
              </w:rPr>
              <w:t xml:space="preserve">■ </w:t>
            </w:r>
            <w:r>
              <w:rPr>
                <w:rFonts w:ascii="Arial" w:hAnsi="Arial" w:eastAsia="Arial" w:cs="Arial"/>
                <w:color w:val="13253A"/>
                <w:sz w:val="19"/>
              </w:rPr>
              <w:t>Gratuit et sans inscription</w:t>
              <w:br/>
            </w:r>
            <w:r>
              <w:rPr>
                <w:rFonts w:ascii="Arial" w:hAnsi="Arial" w:eastAsia="Arial" w:cs="Arial"/>
                <w:b/>
                <w:color w:val="008A7A"/>
                <w:sz w:val="19"/>
              </w:rPr>
              <w:t xml:space="preserve">■ </w:t>
            </w:r>
            <w:r>
              <w:rPr>
                <w:rFonts w:ascii="Arial" w:hAnsi="Arial" w:eastAsia="Arial" w:cs="Arial"/>
                <w:color w:val="13253A"/>
                <w:sz w:val="19"/>
              </w:rPr>
              <w:t>Accessible sur smartphone</w:t>
              <w:br/>
            </w:r>
            <w:r>
              <w:rPr>
                <w:rFonts w:ascii="Arial" w:hAnsi="Arial" w:eastAsia="Arial" w:cs="Arial"/>
                <w:b/>
                <w:color w:val="008A7A"/>
                <w:sz w:val="19"/>
              </w:rPr>
              <w:t xml:space="preserve">■ </w:t>
            </w:r>
            <w:r>
              <w:rPr>
                <w:rFonts w:ascii="Arial" w:hAnsi="Arial" w:eastAsia="Arial" w:cs="Arial"/>
                <w:color w:val="13253A"/>
                <w:sz w:val="19"/>
              </w:rPr>
              <w:t>Contenus sourcés et contextualisés</w:t>
              <w:br/>
            </w:r>
            <w:r>
              <w:rPr>
                <w:rFonts w:ascii="Arial" w:hAnsi="Arial" w:eastAsia="Arial" w:cs="Arial"/>
                <w:b/>
                <w:color w:val="008A7A"/>
                <w:sz w:val="19"/>
              </w:rPr>
              <w:t xml:space="preserve">■ </w:t>
            </w:r>
            <w:r>
              <w:rPr>
                <w:rFonts w:ascii="Arial" w:hAnsi="Arial" w:eastAsia="Arial" w:cs="Arial"/>
                <w:color w:val="13253A"/>
                <w:sz w:val="19"/>
              </w:rPr>
              <w:t>Ressource durable après la JNR</w:t>
              <w:br/>
            </w:r>
          </w:p>
        </w:tc>
        <w:tc>
          <w:tcPr>
            <w:tcW w:type="dxa" w:w="5244"/>
            <w:tcMar>
              <w:top w:w="70" w:type="dxa"/>
              <w:start w:w="130" w:type="dxa"/>
              <w:bottom w:w="70" w:type="dxa"/>
              <w:end w:w="130" w:type="dxa"/>
              <w:left w:w="100" w:type="dxa"/>
              <w:right w:w="100" w:type="dxa"/>
            </w:tcMar>
            <w:tcBorders>
              <w:top w:val="nil"/>
              <w:left w:val="nil"/>
              <w:bottom w:val="nil"/>
              <w:right w:val="nil"/>
            </w:tcBorders>
            <w:shd w:fill="FFFFFF"/>
            <w:vAlign w:val="center"/>
          </w:tcPr>
          <w:p>
            <w:pPr>
              <w:spacing w:line="240" w:lineRule="auto" w:after="60"/>
              <w:jc w:val="center"/>
            </w:pPr>
            <w:r>
              <w:rPr>
                <w:rFonts w:ascii="Arial" w:hAnsi="Arial" w:eastAsia="Arial" w:cs="Arial"/>
              </w:rPr>
              <w:drawing>
                <wp:inline xmlns:a="http://schemas.openxmlformats.org/drawingml/2006/main" xmlns:pic="http://schemas.openxmlformats.org/drawingml/2006/picture">
                  <wp:extent cx="1548000" cy="1548000"/>
                  <wp:docPr id="1" name="Picture 1" descr="Image: image1.png"/>
                  <wp:cNvGraphicFramePr>
                    <a:graphicFrameLocks noChangeAspect="1"/>
                  </wp:cNvGraphicFramePr>
                  <a:graphic>
                    <a:graphicData uri="http://schemas.openxmlformats.org/drawingml/2006/picture">
                      <pic:pic>
                        <pic:nvPicPr>
                          <pic:cNvPr id="0" name="qr_resilience976.png"/>
                          <pic:cNvPicPr/>
                        </pic:nvPicPr>
                        <pic:blipFill>
                          <a:blip r:embed="rId11"/>
                          <a:stretch>
                            <a:fillRect/>
                          </a:stretch>
                        </pic:blipFill>
                        <pic:spPr>
                          <a:xfrm>
                            <a:off x="0" y="0"/>
                            <a:ext cx="1548000" cy="1548000"/>
                          </a:xfrm>
                          <a:prstGeom prst="rect"/>
                        </pic:spPr>
                      </pic:pic>
                    </a:graphicData>
                  </a:graphic>
                </wp:inline>
              </w:drawing>
            </w:r>
          </w:p>
          <w:p>
            <w:pPr>
              <w:spacing w:line="240" w:lineRule="auto" w:after="60"/>
              <w:jc w:val="center"/>
            </w:pPr>
            <w:r>
              <w:rPr>
                <w:rFonts w:ascii="Arial" w:hAnsi="Arial" w:eastAsia="Arial" w:cs="Arial"/>
                <w:b/>
                <w:color w:val="0B2D4F"/>
                <w:sz w:val="19"/>
              </w:rPr>
              <w:t>Démonstrateur en ligne</w:t>
            </w:r>
          </w:p>
          <w:p>
            <w:pPr>
              <w:spacing w:line="240" w:lineRule="auto" w:after="60"/>
              <w:jc w:val="center"/>
            </w:pPr>
            <w:hyperlink r:id="rId12">
              <w:r>
                <w:rPr>
                  <w:color w:val="2D6B9F"/>
                  <w:u w:val="single"/>
                  <w:rFonts w:ascii="Liberation Sans" w:hAnsi="Liberation Sans"/>
                </w:rPr>
                <w:t>resilience-976.netlify.app</w:t>
              </w:r>
            </w:hyperlink>
          </w:p>
        </w:tc>
      </w:tr>
    </w:tbl>
    <w:p>
      <w:pPr>
        <w:spacing w:before="320" w:line="240" w:lineRule="auto" w:after="60"/>
        <w:jc w:val="center"/>
      </w:pPr>
      <w:r>
        <w:rPr>
          <w:rFonts w:ascii="Arial" w:hAnsi="Arial" w:eastAsia="Arial" w:cs="Arial"/>
          <w:b/>
          <w:color w:val="5F6B76"/>
          <w:sz w:val="19"/>
        </w:rPr>
        <w:t>Porteur : GT SAS  |  Responsable du projet : Mathieu MULLER  |  Zone : 976 - Mayotte</w:t>
      </w:r>
    </w:p>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1</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Résumé exécutif</w:t>
            </w:r>
          </w:p>
          <w:p>
            <w:pPr>
              <w:spacing w:before="40" w:after="60" w:line="240" w:lineRule="auto"/>
            </w:pPr>
            <w:r>
              <w:rPr>
                <w:rFonts w:ascii="Arial" w:hAnsi="Arial" w:eastAsia="Arial" w:cs="Arial"/>
                <w:color w:val="DCE9F1"/>
                <w:sz w:val="19"/>
              </w:rPr>
              <w:t>Une plateforme gratuite qui transforme les consignes générales en actions personnelles concrètes</w:t>
            </w:r>
          </w:p>
        </w:tc>
      </w:tr>
    </w:tbl>
    <w:p>
      <w:pPr>
        <w:spacing w:after="60" w:line="240" w:lineRule="auto"/>
      </w:pPr>
    </w:p>
    <w:tbl>
      <w:tblPr>
        <w:tblW w:type="auto" w:w="0"/>
        <w:jc w:val="center"/>
        <w:tblLayout w:type="autofit"/>
        <w:tblLook w:firstColumn="1" w:firstRow="1" w:lastColumn="0" w:lastRow="0" w:noHBand="0" w:noVBand="1" w:val="04A0"/>
      </w:tblPr>
      <w:tblGrid>
        <w:gridCol w:w="159"/>
        <w:gridCol w:w="10205"/>
      </w:tblGrid>
      <w:tr>
        <w:tc>
          <w:tcPr>
            <w:tcW w:type="dxa" w:w="5244"/>
            <w:shd w:fill="2A9D8F"/>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E8F5F3"/>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La promesse</w:t>
            </w:r>
          </w:p>
          <w:p>
            <w:pPr>
              <w:spacing w:before="40" w:after="60" w:line="240" w:lineRule="auto"/>
            </w:pPr>
            <w:r>
              <w:rPr>
                <w:rFonts w:ascii="Arial" w:hAnsi="Arial" w:eastAsia="Arial" w:cs="Arial"/>
                <w:color w:val="13253A"/>
                <w:sz w:val="19"/>
              </w:rPr>
              <w:t>Mon Plan Résilience 976 permet à un habitant de Mayotte d'évaluer rapidement son niveau de préparation, d'identifier ses vulnérabilités prioritaires et de repartir avec des supports directement utilisables pour son foyer.</w:t>
            </w:r>
          </w:p>
        </w:tc>
      </w:tr>
    </w:tbl>
    <w:p>
      <w:pPr>
        <w:spacing w:before="120" w:after="60" w:line="240" w:lineRule="auto"/>
        <w:pBdr>
          <w:bottom w:val="single" w:sz="8" w:space="3" w:color="12345B"/>
        </w:pBdr>
      </w:pPr>
      <w:r>
        <w:rPr>
          <w:rFonts w:ascii="Arial" w:hAnsi="Arial" w:eastAsia="Arial" w:cs="Arial"/>
          <w:b/>
          <w:color w:val="0B2D4F"/>
          <w:sz w:val="26"/>
        </w:rPr>
        <w:t>Le projet en une page</w:t>
      </w:r>
    </w:p>
    <w:p>
      <w:pPr>
        <w:spacing w:after="60" w:line="240" w:lineRule="auto"/>
        <w:jc w:val="both"/>
      </w:pPr>
      <w:r>
        <w:rPr>
          <w:rFonts w:ascii="Arial" w:hAnsi="Arial" w:eastAsia="Arial" w:cs="Arial"/>
          <w:color w:val="13253A"/>
          <w:sz w:val="20"/>
        </w:rPr>
        <w:t>Mon Plan Résilience 976 est une plateforme web gratuite, mobile-first et accessible sans création de compte. Elle accompagne la population face aux cyclones, aux inondations, aux séismes et aux mouvements de terrain. Un démonstrateur fonctionnel du socle est déjà accessible en ligne. Son cœur est un diagnostic de préparation de 5 à 10 minutes qui génère un résultat personnalisé : score, priorités, plan d'actions, checklist cyclone/inondation et liste de kit d'urgence.</w:t>
      </w:r>
    </w:p>
    <w:p>
      <w:pPr>
        <w:spacing w:after="60" w:line="240" w:lineRule="auto"/>
        <w:jc w:val="both"/>
      </w:pPr>
      <w:r>
        <w:rPr>
          <w:rFonts w:ascii="Arial" w:hAnsi="Arial" w:eastAsia="Arial" w:cs="Arial"/>
          <w:color w:val="13253A"/>
          <w:sz w:val="20"/>
        </w:rPr>
        <w:t>L'action JNR 2026 prévoit de compléter ce socle par des quiz expliqués, des mises en situation, des micro-formations et un assistant documentaire assisté par IA, limité à un corpus validé. Les contenus seront rattachés à des sources institutionnelles ou reconnues. La plateforme ne remplace jamais les autorités, les alertes officielles ou les services de secours : elle prépare les utilisateurs en amont et facilite l'adoption des bons réflexes.</w:t>
      </w:r>
    </w:p>
    <w:tbl>
      <w:tblPr>
        <w:tblW w:type="auto" w:w="0"/>
        <w:jc w:val="center"/>
        <w:tblLayout w:type="autofit"/>
        <w:tblLook w:firstColumn="1" w:firstRow="1" w:lastColumn="0" w:lastRow="0" w:noHBand="0" w:noVBand="1" w:val="04A0"/>
      </w:tblPr>
      <w:tblGrid>
        <w:gridCol w:w="5244"/>
        <w:gridCol w:w="5244"/>
      </w:tblGrid>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PUBLIC</w:t>
            </w:r>
          </w:p>
          <w:p>
            <w:pPr>
              <w:spacing w:before="40" w:after="60" w:line="240" w:lineRule="auto"/>
            </w:pPr>
            <w:r>
              <w:rPr>
                <w:rFonts w:ascii="Arial" w:hAnsi="Arial" w:eastAsia="Arial" w:cs="Arial"/>
                <w:b/>
                <w:color w:val="008A7A"/>
                <w:sz w:val="18"/>
              </w:rPr>
              <w:t>Tout public</w:t>
            </w:r>
          </w:p>
          <w:p>
            <w:pPr>
              <w:spacing w:before="40" w:after="60" w:line="240" w:lineRule="auto"/>
            </w:pPr>
            <w:r>
              <w:rPr>
                <w:rFonts w:ascii="Arial" w:hAnsi="Arial" w:eastAsia="Arial" w:cs="Arial"/>
                <w:color w:val="13253A"/>
                <w:sz w:val="18"/>
              </w:rPr>
              <w:t>Habitants, familles, scolaires, salariés, agents publics et relais territoriaux. Aucun compte obligatoire pour accéder aux parcours.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PÉRIODE JNR 2026</w:t>
            </w:r>
          </w:p>
          <w:p>
            <w:pPr>
              <w:spacing w:before="40" w:after="60" w:line="240" w:lineRule="auto"/>
            </w:pPr>
            <w:r>
              <w:rPr>
                <w:rFonts w:ascii="Arial" w:hAnsi="Arial" w:eastAsia="Arial" w:cs="Arial"/>
                <w:b/>
                <w:color w:val="008A7A"/>
                <w:sz w:val="18"/>
              </w:rPr>
              <w:t>1er septembre - 31 décembre</w:t>
            </w:r>
          </w:p>
          <w:p>
            <w:pPr>
              <w:spacing w:before="40" w:after="60" w:line="240" w:lineRule="auto"/>
            </w:pPr>
            <w:r>
              <w:rPr>
                <w:rFonts w:ascii="Arial" w:hAnsi="Arial" w:eastAsia="Arial" w:cs="Arial"/>
                <w:color w:val="13253A"/>
                <w:sz w:val="18"/>
              </w:rPr>
              <w:t>Ouverture publique avant le 13 octobre, animation pendant tout le mois d’octobre et mesure de l’impact jusqu’à la fin de l’année.</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OBJECTIF D’IMPACT</w:t>
            </w:r>
          </w:p>
          <w:p>
            <w:pPr>
              <w:spacing w:before="40" w:after="60" w:line="240" w:lineRule="auto"/>
            </w:pPr>
            <w:r>
              <w:rPr>
                <w:rFonts w:ascii="Arial" w:hAnsi="Arial" w:eastAsia="Arial" w:cs="Arial"/>
                <w:b/>
                <w:color w:val="008A7A"/>
                <w:sz w:val="18"/>
              </w:rPr>
              <w:t>5 000 personnes touchées</w:t>
            </w:r>
          </w:p>
          <w:p>
            <w:pPr>
              <w:spacing w:before="40" w:after="60" w:line="240" w:lineRule="auto"/>
            </w:pPr>
            <w:r>
              <w:rPr>
                <w:rFonts w:ascii="Arial" w:hAnsi="Arial" w:eastAsia="Arial" w:cs="Arial"/>
                <w:color w:val="13253A"/>
                <w:sz w:val="18"/>
              </w:rPr>
              <w:t>Objectif prévisionnel correspondant à 1,55 % des 323 153 habitants de Mayotte, soit environ 41 utilisateurs engagés par jour.</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LIVRABLE DURABLE</w:t>
            </w:r>
          </w:p>
          <w:p>
            <w:pPr>
              <w:spacing w:before="40" w:after="60" w:line="240" w:lineRule="auto"/>
            </w:pPr>
            <w:r>
              <w:rPr>
                <w:rFonts w:ascii="Arial" w:hAnsi="Arial" w:eastAsia="Arial" w:cs="Arial"/>
                <w:b/>
                <w:color w:val="008A7A"/>
                <w:sz w:val="18"/>
              </w:rPr>
              <w:t>Une ressource réutilisable</w:t>
            </w:r>
          </w:p>
          <w:p>
            <w:pPr>
              <w:spacing w:before="40" w:after="60" w:line="240" w:lineRule="auto"/>
            </w:pPr>
            <w:r>
              <w:rPr>
                <w:rFonts w:ascii="Arial" w:hAnsi="Arial" w:eastAsia="Arial" w:cs="Arial"/>
                <w:color w:val="13253A"/>
                <w:sz w:val="18"/>
              </w:rPr>
              <w:t>La plateforme est conçue pour rester disponible après la JNR, être actualisée et servir de support aux communes, écoles, associations et entreprises.</w:t>
            </w:r>
          </w:p>
        </w:tc>
      </w:tr>
    </w:tbl>
    <w:p>
      <w:pPr>
        <w:spacing w:before="80" w:after="60" w:line="240" w:lineRule="auto"/>
      </w:pPr>
      <w:r>
        <w:rPr>
          <w:rFonts w:ascii="Arial" w:hAnsi="Arial" w:eastAsia="Arial" w:cs="Arial"/>
          <w:b/>
          <w:color w:val="5F6B76"/>
          <w:sz w:val="15"/>
        </w:rPr>
        <w:t xml:space="preserve">Source : </w:t>
      </w:r>
      <w:r>
        <w:rPr>
          <w:rFonts w:ascii="Arial" w:hAnsi="Arial" w:eastAsia="Arial" w:cs="Arial"/>
          <w:i/>
          <w:color w:val="5F6B76"/>
          <w:sz w:val="15"/>
        </w:rPr>
        <w:t>Insee, premiers résultats du recensement exhaustif : 323 153 habitants à Mayotte au 1er janvier 2026 (publication du 7 juillet 2026).</w:t>
      </w:r>
    </w:p>
    <w:p>
      <w:pPr>
        <w:spacing w:before="120" w:after="60" w:line="240" w:lineRule="auto"/>
        <w:pBdr>
          <w:bottom w:val="single" w:sz="8" w:space="3" w:color="12345B"/>
        </w:pBdr>
      </w:pPr>
      <w:r>
        <w:rPr>
          <w:rFonts w:ascii="Arial" w:hAnsi="Arial" w:eastAsia="Arial" w:cs="Arial"/>
          <w:b/>
          <w:color w:val="0B2D4F"/>
          <w:sz w:val="26"/>
        </w:rPr>
        <w:t>Résultats attendus pour l’utilisateur</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Comprendre les risques qui concernent son foyer et les comportements de sauvegarde essentiels.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Prioriser les actions réellement manquantes plutôt que recevoir une liste générique.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Télécharger des supports simples à conserver, imprimer ou partager avec les membres du foyer.</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Approfondir ses connaissances grâce à des contenus courts, interactifs et sourcés.</w:t>
      </w:r>
    </w:p>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2</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Contexte et besoin territorial</w:t>
            </w:r>
          </w:p>
          <w:p>
            <w:pPr>
              <w:spacing w:before="40" w:after="60" w:line="240" w:lineRule="auto"/>
            </w:pPr>
            <w:r>
              <w:rPr>
                <w:rFonts w:ascii="Arial" w:hAnsi="Arial" w:eastAsia="Arial" w:cs="Arial"/>
                <w:color w:val="DCE9F1"/>
                <w:sz w:val="19"/>
              </w:rPr>
              <w:t>Pourquoi un outil numérique personnalisé est pertinent à Mayotte</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Un territoire exposé à plusieurs risques naturels majeurs</w:t>
      </w:r>
    </w:p>
    <w:p>
      <w:pPr>
        <w:spacing w:after="60" w:line="240" w:lineRule="auto"/>
        <w:jc w:val="both"/>
      </w:pPr>
      <w:r>
        <w:rPr>
          <w:rFonts w:ascii="Arial" w:hAnsi="Arial" w:eastAsia="Arial" w:cs="Arial"/>
          <w:color w:val="13253A"/>
          <w:sz w:val="20"/>
        </w:rPr>
        <w:t>Mayotte est confrontée à un ensemble de risques naturels qui exigent une préparation régulière de la population. Les phénomènes cycloniques peuvent combiner vents violents, fortes pluies, houle et perturbation des réseaux essentiels. Les inondations surviennent principalement pendant la saison des pluies et sont aggravées par le relief, le ruissellement et l'urbanisation. Le territoire est également classé en zone de sismicité modérée et connaît des risques localisés de mouvements de terrain.</w:t>
      </w:r>
    </w:p>
    <w:tbl>
      <w:tblPr>
        <w:tblW w:type="auto" w:w="0"/>
        <w:jc w:val="center"/>
        <w:tblLayout w:type="autofit"/>
        <w:tblLook w:firstColumn="1" w:firstRow="1" w:lastColumn="0" w:lastRow="0" w:noHBand="0" w:noVBand="1" w:val="04A0"/>
      </w:tblPr>
      <w:tblGrid>
        <w:gridCol w:w="5244"/>
        <w:gridCol w:w="5244"/>
      </w:tblGrid>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EEF6FB"/>
            <w:vAlign w:val="center"/>
          </w:tcPr>
          <w:p>
            <w:pPr>
              <w:spacing w:line="240" w:lineRule="auto" w:after="60"/>
            </w:pPr>
            <w:r>
              <w:rPr>
                <w:rFonts w:ascii="Arial" w:hAnsi="Arial" w:eastAsia="Arial" w:cs="Arial"/>
                <w:b/>
                <w:color w:val="0B2D4F"/>
                <w:sz w:val="22"/>
              </w:rPr>
              <w:t>TEMPÊTE / CYCLONE</w:t>
            </w:r>
          </w:p>
          <w:p>
            <w:pPr>
              <w:spacing w:before="40" w:after="60" w:line="240" w:lineRule="auto"/>
            </w:pPr>
            <w:r>
              <w:rPr>
                <w:rFonts w:ascii="Arial" w:hAnsi="Arial" w:eastAsia="Arial" w:cs="Arial"/>
                <w:color w:val="13253A"/>
                <w:sz w:val="18"/>
              </w:rPr>
              <w:t>Préparer le logement, comprendre les niveaux d’alerte, anticiper l’eau, l’énergie, les communications et respecter les consignes avant, pendant et après le phénomène.</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EEF9F7"/>
            <w:vAlign w:val="center"/>
          </w:tcPr>
          <w:p>
            <w:pPr>
              <w:spacing w:line="240" w:lineRule="auto" w:after="60"/>
            </w:pPr>
            <w:r>
              <w:rPr>
                <w:rFonts w:ascii="Arial" w:hAnsi="Arial" w:eastAsia="Arial" w:cs="Arial"/>
                <w:b/>
                <w:color w:val="0B2D4F"/>
                <w:sz w:val="22"/>
              </w:rPr>
              <w:t>INONDATION</w:t>
            </w:r>
          </w:p>
          <w:p>
            <w:pPr>
              <w:spacing w:before="40" w:after="60" w:line="240" w:lineRule="auto"/>
            </w:pPr>
            <w:r>
              <w:rPr>
                <w:rFonts w:ascii="Arial" w:hAnsi="Arial" w:eastAsia="Arial" w:cs="Arial"/>
                <w:color w:val="13253A"/>
                <w:sz w:val="18"/>
              </w:rPr>
              <w:t>Identifier les comportements à éviter, ne pas s’engager dans une zone inondée, protéger les documents et connaître les mesures adaptées aux pluies intenses.</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FF7E8"/>
            <w:vAlign w:val="center"/>
          </w:tcPr>
          <w:p>
            <w:pPr>
              <w:spacing w:line="240" w:lineRule="auto" w:after="60"/>
            </w:pPr>
            <w:r>
              <w:rPr>
                <w:rFonts w:ascii="Arial" w:hAnsi="Arial" w:eastAsia="Arial" w:cs="Arial"/>
                <w:b/>
                <w:color w:val="0B2D4F"/>
                <w:sz w:val="22"/>
              </w:rPr>
              <w:t>SÉISME</w:t>
            </w:r>
          </w:p>
          <w:p>
            <w:pPr>
              <w:spacing w:before="40" w:after="60" w:line="240" w:lineRule="auto"/>
            </w:pPr>
            <w:r>
              <w:rPr>
                <w:rFonts w:ascii="Arial" w:hAnsi="Arial" w:eastAsia="Arial" w:cs="Arial"/>
                <w:color w:val="13253A"/>
                <w:sz w:val="18"/>
              </w:rPr>
              <w:t>Connaître les réflexes immédiats, sécuriser les espaces de vie et comprendre les risques induits. Les séismes ne sont pas prévisibles.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6F0FB"/>
            <w:vAlign w:val="center"/>
          </w:tcPr>
          <w:p>
            <w:pPr>
              <w:spacing w:line="240" w:lineRule="auto" w:after="60"/>
            </w:pPr>
            <w:r>
              <w:rPr>
                <w:rFonts w:ascii="Arial" w:hAnsi="Arial" w:eastAsia="Arial" w:cs="Arial"/>
                <w:b/>
                <w:color w:val="0B2D4F"/>
                <w:sz w:val="22"/>
              </w:rPr>
              <w:t>MOUVEMENT DE TERRAIN</w:t>
            </w:r>
          </w:p>
          <w:p>
            <w:pPr>
              <w:spacing w:before="40" w:after="60" w:line="240" w:lineRule="auto"/>
            </w:pPr>
            <w:r>
              <w:rPr>
                <w:rFonts w:ascii="Arial" w:hAnsi="Arial" w:eastAsia="Arial" w:cs="Arial"/>
                <w:color w:val="13253A"/>
                <w:sz w:val="18"/>
              </w:rPr>
              <w:t>Reconnaître les situations à risque, s’éloigner des zones dangereuses et appliquer les consignes adaptées aux chutes de blocs, éboulements ou coulées.</w:t>
            </w:r>
          </w:p>
        </w:tc>
      </w:tr>
    </w:tbl>
    <w:p>
      <w:pPr>
        <w:spacing w:before="80" w:after="60" w:line="240" w:lineRule="auto"/>
      </w:pPr>
      <w:r>
        <w:rPr>
          <w:rFonts w:ascii="Arial" w:hAnsi="Arial" w:eastAsia="Arial" w:cs="Arial"/>
          <w:b/>
          <w:color w:val="5F6B76"/>
          <w:sz w:val="15"/>
        </w:rPr>
        <w:t xml:space="preserve">Source : </w:t>
      </w:r>
      <w:r>
        <w:rPr>
          <w:rFonts w:ascii="Arial" w:hAnsi="Arial" w:eastAsia="Arial" w:cs="Arial"/>
          <w:i/>
          <w:color w:val="5F6B76"/>
          <w:sz w:val="15"/>
        </w:rPr>
        <w:t>Préfecture de Mayotte : pages 'Risques naturels', 'Risques météorologiques', 'Séismes' et 'Mouvements de terrain' ; Géorisques, campagne Outre-mer 2026 sur les pluies intenses et les inondations.</w:t>
      </w:r>
    </w:p>
    <w:p>
      <w:pPr>
        <w:spacing w:before="120" w:after="60" w:line="240" w:lineRule="auto"/>
        <w:pBdr>
          <w:bottom w:val="single" w:sz="8" w:space="3" w:color="12345B"/>
        </w:pBdr>
      </w:pPr>
      <w:r>
        <w:rPr>
          <w:rFonts w:ascii="Arial" w:hAnsi="Arial" w:eastAsia="Arial" w:cs="Arial"/>
          <w:b/>
          <w:color w:val="0B2D4F"/>
          <w:sz w:val="26"/>
        </w:rPr>
        <w:t>Le besoin auquel répond Mon Plan Résilience 976</w:t>
      </w:r>
    </w:p>
    <w:p>
      <w:pPr>
        <w:spacing w:after="60" w:line="240" w:lineRule="auto"/>
        <w:jc w:val="both"/>
      </w:pPr>
      <w:r>
        <w:rPr>
          <w:rFonts w:ascii="Arial" w:hAnsi="Arial" w:eastAsia="Arial" w:cs="Arial"/>
          <w:color w:val="13253A"/>
          <w:sz w:val="20"/>
        </w:rPr>
        <w:t>Les informations officielles existent, mais elles sont réparties entre plusieurs supports et restent souvent générales. L'enjeu n'est pas uniquement de diffuser une consigne : il faut aider chaque personne à vérifier ce qu'elle a réellement préparé, comprendre ce qui lui manque et passer à l'action.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Centraliser les informations essentielles sans dupliquer les dispositifs d'alerte.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Adapter les recommandations à la situation du foyer : enfants, personnes vulnérables, animaux, type de logement, ressources disponibles.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Rendre les contenus utilisables depuis un smartphone et sur une connexion limitée.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Donner aux relais locaux un support gratuit, homogène et mesurable.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Créer une ressource durable, mobilisable avant la crise et pas uniquement pendant l'urgence.</w:t>
      </w:r>
    </w:p>
    <w:tbl>
      <w:tblPr>
        <w:tblW w:type="auto" w:w="0"/>
        <w:jc w:val="center"/>
        <w:tblLayout w:type="autofit"/>
        <w:tblLook w:firstColumn="1" w:firstRow="1" w:lastColumn="0" w:lastRow="0" w:noHBand="0" w:noVBand="1" w:val="04A0"/>
      </w:tblPr>
      <w:tblGrid>
        <w:gridCol w:w="159"/>
        <w:gridCol w:w="10205"/>
      </w:tblGrid>
      <w:tr>
        <w:tc>
          <w:tcPr>
            <w:tcW w:type="dxa" w:w="5244"/>
            <w:shd w:fill="E98A3A"/>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FFF4E8"/>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Positionnement</w:t>
            </w:r>
          </w:p>
          <w:p>
            <w:pPr>
              <w:spacing w:before="40" w:after="60" w:line="240" w:lineRule="auto"/>
            </w:pPr>
            <w:r>
              <w:rPr>
                <w:rFonts w:ascii="Arial" w:hAnsi="Arial" w:eastAsia="Arial" w:cs="Arial"/>
                <w:color w:val="13253A"/>
                <w:sz w:val="19"/>
              </w:rPr>
              <w:t>La plateforme est un outil d'acculturation et de préparation. Elle n'est ni un service d'alerte, ni une carte opérationnelle en temps réel, ni un substitut aux messages de la Préfecture, de Météo-France ou des secours.</w:t>
            </w:r>
          </w:p>
        </w:tc>
      </w:tr>
    </w:tbl>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3</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Objectifs et alignement avec la JNR 2026</w:t>
            </w:r>
          </w:p>
          <w:p>
            <w:pPr>
              <w:spacing w:before="40" w:after="60" w:line="240" w:lineRule="auto"/>
            </w:pPr>
            <w:r>
              <w:rPr>
                <w:rFonts w:ascii="Arial" w:hAnsi="Arial" w:eastAsia="Arial" w:cs="Arial"/>
                <w:color w:val="DCE9F1"/>
                <w:sz w:val="19"/>
              </w:rPr>
              <w:t>Une action dématérialisée directement rattachée aux trois objectifs nationaux</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Objectif général</w:t>
      </w:r>
    </w:p>
    <w:p>
      <w:pPr>
        <w:spacing w:after="60" w:line="240" w:lineRule="auto"/>
        <w:jc w:val="both"/>
      </w:pPr>
      <w:r>
        <w:rPr>
          <w:rFonts w:ascii="Arial" w:hAnsi="Arial" w:eastAsia="Arial" w:cs="Arial"/>
          <w:color w:val="13253A"/>
          <w:sz w:val="20"/>
        </w:rPr>
        <w:t>Développer une culture pratique du risque à Mayotte en permettant à chacun de comprendre les menaces majeures, d'évaluer son niveau de préparation et d'adopter des comportements de sauvegarde adaptés avant, pendant et après une catastrophe.</w:t>
      </w:r>
    </w:p>
    <w:p>
      <w:pPr>
        <w:spacing w:before="120" w:after="60" w:line="240" w:lineRule="auto"/>
        <w:pBdr>
          <w:bottom w:val="single" w:sz="8" w:space="3" w:color="12345B"/>
        </w:pBdr>
      </w:pPr>
      <w:r>
        <w:rPr>
          <w:rFonts w:ascii="Arial" w:hAnsi="Arial" w:eastAsia="Arial" w:cs="Arial"/>
          <w:b/>
          <w:color w:val="0B2D4F"/>
          <w:sz w:val="26"/>
        </w:rPr>
        <w:t>Contribution aux trois objectifs de la Journée nationale de la résilience</w:t>
      </w:r>
    </w:p>
    <w:tbl>
      <w:tblPr>
        <w:tblW w:type="auto" w:w="0"/>
        <w:jc w:val="center"/>
        <w:tblLayout w:type="autofit"/>
        <w:tblLook w:firstColumn="1" w:firstRow="1" w:lastColumn="0" w:lastRow="0" w:noHBand="0" w:noVBand="1" w:val="04A0"/>
      </w:tblPr>
      <w:tblGrid>
        <w:gridCol w:w="10488"/>
      </w:tblGrid>
      <w:tr>
        <w:tc>
          <w:tcPr>
            <w:tcW w:type="dxa" w:w="34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EEF6FB"/>
            <w:vAlign w:val="center"/>
          </w:tcPr>
          <w:p>
            <w:pPr>
              <w:spacing w:line="240" w:lineRule="auto" w:after="60"/>
            </w:pPr>
            <w:r>
              <w:rPr>
                <w:rFonts w:ascii="Arial" w:hAnsi="Arial" w:eastAsia="Arial" w:cs="Arial"/>
                <w:b/>
                <w:color w:val="2D6B9F"/>
                <w:sz w:val="22"/>
              </w:rPr>
              <w:t>1. DÉVELOPPER LA CULTURE DU RISQUE</w:t>
            </w:r>
          </w:p>
          <w:p>
            <w:pPr>
              <w:spacing w:before="40" w:after="60" w:line="240" w:lineRule="auto"/>
            </w:pPr>
            <w:r>
              <w:rPr>
                <w:rFonts w:ascii="Arial" w:hAnsi="Arial" w:eastAsia="Arial" w:cs="Arial"/>
                <w:color w:val="13253A"/>
                <w:sz w:val="18"/>
              </w:rPr>
              <w:t>Fiches contextualisées, quiz expliqués, micro-formations et accès visible aux sources. La plateforme aide à comprendre les phénomènes et entretient la mémoire des événements et des consignes.</w:t>
            </w:r>
          </w:p>
        </w:tc>
      </w:tr>
      <w:tr>
        <w:tc>
          <w:tcPr>
            <w:tcW w:type="dxa" w:w="34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EEF9F7"/>
            <w:vAlign w:val="center"/>
          </w:tcPr>
          <w:p>
            <w:pPr>
              <w:spacing w:line="240" w:lineRule="auto" w:after="60"/>
            </w:pPr>
            <w:r>
              <w:rPr>
                <w:rFonts w:ascii="Arial" w:hAnsi="Arial" w:eastAsia="Arial" w:cs="Arial"/>
                <w:b/>
                <w:color w:val="008A7A"/>
                <w:sz w:val="22"/>
              </w:rPr>
              <w:t>2. SE PRÉPARER À LA CATASTROPHE</w:t>
            </w:r>
          </w:p>
          <w:p>
            <w:pPr>
              <w:spacing w:before="40" w:after="60" w:line="240" w:lineRule="auto"/>
            </w:pPr>
            <w:r>
              <w:rPr>
                <w:rFonts w:ascii="Arial" w:hAnsi="Arial" w:eastAsia="Arial" w:cs="Arial"/>
                <w:color w:val="13253A"/>
                <w:sz w:val="18"/>
              </w:rPr>
              <w:t>Diagnostic, kit d’urgence, checklist et mises en situation transforment l’information en actions concrètes. Les utilisateurs apprennent les bons comportements et la signification des moyens d’alerte.</w:t>
            </w:r>
          </w:p>
        </w:tc>
      </w:tr>
      <w:tr>
        <w:tc>
          <w:tcPr>
            <w:tcW w:type="dxa" w:w="34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FF7E8"/>
            <w:vAlign w:val="center"/>
          </w:tcPr>
          <w:p>
            <w:pPr>
              <w:spacing w:line="240" w:lineRule="auto" w:after="60"/>
            </w:pPr>
            <w:r>
              <w:rPr>
                <w:rFonts w:ascii="Arial" w:hAnsi="Arial" w:eastAsia="Arial" w:cs="Arial"/>
                <w:b/>
                <w:color w:val="E98A3A"/>
                <w:sz w:val="22"/>
              </w:rPr>
              <w:t>3. RENFORCER LA RÉSILIENCE COLLECTIVE</w:t>
            </w:r>
          </w:p>
          <w:p>
            <w:pPr>
              <w:spacing w:before="40" w:after="60" w:line="240" w:lineRule="auto"/>
            </w:pPr>
            <w:r>
              <w:rPr>
                <w:rFonts w:ascii="Arial" w:hAnsi="Arial" w:eastAsia="Arial" w:cs="Arial"/>
                <w:color w:val="13253A"/>
                <w:sz w:val="18"/>
              </w:rPr>
              <w:t>La ressource peut être relayée par les établissements, communes, associations et entreprises. Elle aborde également le retour à la normale et l’entraide envers les personnes vulnérables.</w:t>
            </w:r>
          </w:p>
        </w:tc>
      </w:tr>
    </w:tbl>
    <w:p>
      <w:pPr>
        <w:spacing w:before="120" w:after="60" w:line="240" w:lineRule="auto"/>
        <w:pBdr>
          <w:bottom w:val="single" w:sz="8" w:space="3" w:color="12345B"/>
        </w:pBdr>
      </w:pPr>
      <w:r>
        <w:rPr>
          <w:rFonts w:ascii="Arial" w:hAnsi="Arial" w:eastAsia="Arial" w:cs="Arial"/>
          <w:b/>
          <w:color w:val="0B2D4F"/>
          <w:sz w:val="26"/>
        </w:rPr>
        <w:t>Principes de conformité intégrés dès la conception</w:t>
      </w:r>
    </w:p>
    <w:tbl>
      <w:tblPr>
        <w:tblW w:type="auto" w:w="0"/>
        <w:jc w:val="center"/>
        <w:tblLayout w:type="autofit"/>
        <w:tblLook w:firstColumn="1" w:firstRow="1" w:lastColumn="0" w:lastRow="0" w:noHBand="0" w:noVBand="1" w:val="04A0"/>
      </w:tblPr>
      <w:tblGrid>
        <w:gridCol w:w="2438"/>
        <w:gridCol w:w="7880"/>
      </w:tblGrid>
      <w:tr>
        <w:trPr>
          <w:tblHeader w:val="true"/>
        </w:trPr>
        <w:tc>
          <w:tcPr>
            <w:tcW w:type="dxa" w:w="5244"/>
            <w:shd w:fill="12345B"/>
            <w:tcMar>
              <w:top w:w="70" w:type="dxa"/>
              <w:start w:w="100" w:type="dxa"/>
              <w:bottom w:w="70" w:type="dxa"/>
              <w:end w:w="100" w:type="dxa"/>
              <w:left w:w="100" w:type="dxa"/>
              <w:right w:w="100" w:type="dxa"/>
            </w:tcMar>
            <w:vAlign w:val="center"/>
          </w:tcPr>
          <w:p>
            <w:pPr>
              <w:spacing w:line="240" w:lineRule="auto" w:after="60"/>
            </w:pPr>
            <w:r>
              <w:rPr>
                <w:rFonts w:ascii="Arial" w:hAnsi="Arial" w:eastAsia="Arial" w:cs="Arial"/>
                <w:b/>
                <w:color w:val="FFFFFF"/>
                <w:sz w:val="19"/>
              </w:rPr>
              <w:t>Principe</w:t>
            </w:r>
          </w:p>
        </w:tc>
        <w:tc>
          <w:tcPr>
            <w:tcW w:type="dxa" w:w="5244"/>
            <w:shd w:fill="12345B"/>
            <w:tcMar>
              <w:top w:w="70" w:type="dxa"/>
              <w:start w:w="100" w:type="dxa"/>
              <w:bottom w:w="70" w:type="dxa"/>
              <w:end w:w="100" w:type="dxa"/>
              <w:left w:w="100" w:type="dxa"/>
              <w:right w:w="100" w:type="dxa"/>
            </w:tcMar>
            <w:vAlign w:val="center"/>
          </w:tcPr>
          <w:p>
            <w:pPr>
              <w:spacing w:line="240" w:lineRule="auto" w:after="60"/>
            </w:pPr>
            <w:r>
              <w:rPr>
                <w:rFonts w:ascii="Arial" w:hAnsi="Arial" w:eastAsia="Arial" w:cs="Arial"/>
                <w:b/>
                <w:color w:val="FFFFFF"/>
                <w:sz w:val="19"/>
              </w:rPr>
              <w:t>Traduction dans le projet</w:t>
            </w:r>
          </w:p>
        </w:tc>
      </w:tr>
      <w:tr>
        <w:tc>
          <w:tcPr>
            <w:tcW w:type="dxa" w:w="2438"/>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8"/>
              </w:rPr>
              <w:t>Gratuité</w:t>
            </w:r>
          </w:p>
        </w:tc>
        <w:tc>
          <w:tcPr>
            <w:tcW w:type="dxa" w:w="7880"/>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8"/>
              </w:rPr>
              <w:t>Accès public gratuit, sans publicité et sans promotion commerciale dans les parcours.</w:t>
            </w:r>
          </w:p>
        </w:tc>
      </w:tr>
      <w:tr>
        <w:tc>
          <w:tcPr>
            <w:tcW w:type="dxa" w:w="2438"/>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8"/>
              </w:rPr>
              <w:t>Rigueur</w:t>
            </w:r>
          </w:p>
        </w:tc>
        <w:tc>
          <w:tcPr>
            <w:tcW w:type="dxa" w:w="7880"/>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8"/>
              </w:rPr>
              <w:t>Consignes rattachées à une source officielle ou reconnue, avec date de validation.</w:t>
            </w:r>
          </w:p>
        </w:tc>
      </w:tr>
      <w:tr>
        <w:tc>
          <w:tcPr>
            <w:tcW w:type="dxa" w:w="2438"/>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8"/>
              </w:rPr>
              <w:t>Accessibilité</w:t>
            </w:r>
          </w:p>
        </w:tc>
        <w:tc>
          <w:tcPr>
            <w:tcW w:type="dxa" w:w="7880"/>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8"/>
              </w:rPr>
              <w:t>Conception mobile-first, langage clair, contrastes, navigation clavier et supports imprimables.</w:t>
            </w:r>
          </w:p>
        </w:tc>
      </w:tr>
      <w:tr>
        <w:tc>
          <w:tcPr>
            <w:tcW w:type="dxa" w:w="2438"/>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8"/>
              </w:rPr>
              <w:t>Protection des données</w:t>
            </w:r>
          </w:p>
        </w:tc>
        <w:tc>
          <w:tcPr>
            <w:tcW w:type="dxa" w:w="7880"/>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8"/>
              </w:rPr>
              <w:t>Aucun compte obligatoire ; collecte limitée aux statistiques anonymes nécessaires à l’évaluation.</w:t>
            </w:r>
          </w:p>
        </w:tc>
      </w:tr>
      <w:tr>
        <w:tc>
          <w:tcPr>
            <w:tcW w:type="dxa" w:w="2438"/>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8"/>
              </w:rPr>
              <w:t>Langues</w:t>
            </w:r>
          </w:p>
        </w:tc>
        <w:tc>
          <w:tcPr>
            <w:tcW w:type="dxa" w:w="7880"/>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8"/>
              </w:rPr>
              <w:t>Français disponible sur l’ensemble du parcours ; architecture ouverte à des contenus complémentaires en shimaoré et kibushi.</w:t>
            </w:r>
          </w:p>
        </w:tc>
      </w:tr>
      <w:tr>
        <w:tc>
          <w:tcPr>
            <w:tcW w:type="dxa" w:w="2438"/>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8"/>
              </w:rPr>
              <w:t>Sobriété</w:t>
            </w:r>
          </w:p>
        </w:tc>
        <w:tc>
          <w:tcPr>
            <w:tcW w:type="dxa" w:w="7880"/>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8"/>
              </w:rPr>
              <w:t>Pages légères, limitation des traceurs et des médias lourds, absence de fonction inutile à la mission de prévention.</w:t>
            </w:r>
          </w:p>
        </w:tc>
      </w:tr>
    </w:tbl>
    <w:p>
      <w:pPr>
        <w:spacing w:before="80" w:after="60" w:line="240" w:lineRule="auto"/>
      </w:pPr>
      <w:r>
        <w:rPr>
          <w:rFonts w:ascii="Arial" w:hAnsi="Arial" w:eastAsia="Arial" w:cs="Arial"/>
          <w:b/>
          <w:color w:val="5F6B76"/>
          <w:sz w:val="15"/>
        </w:rPr>
        <w:t xml:space="preserve">Source : </w:t>
      </w:r>
      <w:r>
        <w:rPr>
          <w:rFonts w:ascii="Arial" w:hAnsi="Arial" w:eastAsia="Arial" w:cs="Arial"/>
          <w:i/>
          <w:color w:val="5F6B76"/>
          <w:sz w:val="15"/>
        </w:rPr>
        <w:t>Règlement de l'appel à projets JNR 2026, articles 2 et 4 ; mini-guide pratique Entreprise, rubrique 'Comment je crée un événement dématérialisé ?'.</w:t>
      </w:r>
    </w:p>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4</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La solution proposée</w:t>
            </w:r>
          </w:p>
          <w:p>
            <w:pPr>
              <w:spacing w:before="40" w:after="60" w:line="240" w:lineRule="auto"/>
            </w:pPr>
            <w:r>
              <w:rPr>
                <w:rFonts w:ascii="Arial" w:hAnsi="Arial" w:eastAsia="Arial" w:cs="Arial"/>
                <w:color w:val="DCE9F1"/>
                <w:sz w:val="19"/>
              </w:rPr>
              <w:t>Un socle numérique unique, structuré autour de six fonctions complémentaires</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Architecture fonctionnelle</w:t>
      </w:r>
    </w:p>
    <w:tbl>
      <w:tblPr>
        <w:tblW w:type="auto" w:w="0"/>
        <w:jc w:val="center"/>
        <w:tblLayout w:type="autofit"/>
        <w:tblLook w:firstColumn="1" w:firstRow="1" w:lastColumn="0" w:lastRow="0" w:noHBand="0" w:noVBand="1" w:val="04A0"/>
      </w:tblPr>
      <w:tblGrid>
        <w:gridCol w:w="5244"/>
        <w:gridCol w:w="5244"/>
      </w:tblGrid>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E8F5F3"/>
            <w:vAlign w:val="center"/>
          </w:tcPr>
          <w:p>
            <w:pPr>
              <w:spacing w:line="240" w:lineRule="auto" w:after="60"/>
            </w:pPr>
            <w:r>
              <w:rPr>
                <w:rFonts w:ascii="Arial" w:hAnsi="Arial" w:eastAsia="Arial" w:cs="Arial"/>
                <w:b/>
                <w:color w:val="008A7A"/>
                <w:sz w:val="22"/>
              </w:rPr>
              <w:t>MON PLAN RÉSILIENCE</w:t>
            </w:r>
          </w:p>
          <w:p>
            <w:pPr>
              <w:spacing w:before="40" w:after="60" w:line="240" w:lineRule="auto"/>
            </w:pPr>
            <w:r>
              <w:rPr>
                <w:rFonts w:ascii="Arial" w:hAnsi="Arial" w:eastAsia="Arial" w:cs="Arial"/>
                <w:b/>
                <w:color w:val="008A7A"/>
                <w:sz w:val="18"/>
              </w:rPr>
              <w:t>Socle fonctionnel existant</w:t>
            </w:r>
          </w:p>
          <w:p>
            <w:pPr>
              <w:spacing w:before="40" w:after="60" w:line="240" w:lineRule="auto"/>
            </w:pPr>
            <w:r>
              <w:rPr>
                <w:rFonts w:ascii="Arial" w:hAnsi="Arial" w:eastAsia="Arial" w:cs="Arial"/>
                <w:color w:val="13253A"/>
                <w:sz w:val="18"/>
              </w:rPr>
              <w:t>Diagnostic de 5 à 10 minutes, score, niveau de préparation, priorités, plan d’actions, checklist et kit d’urgence personnalisés.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EEF6FB"/>
            <w:vAlign w:val="center"/>
          </w:tcPr>
          <w:p>
            <w:pPr>
              <w:spacing w:line="240" w:lineRule="auto" w:after="60"/>
            </w:pPr>
            <w:r>
              <w:rPr>
                <w:rFonts w:ascii="Arial" w:hAnsi="Arial" w:eastAsia="Arial" w:cs="Arial"/>
                <w:b/>
                <w:color w:val="2D6B9F"/>
                <w:sz w:val="22"/>
              </w:rPr>
              <w:t>QUIZ INTERACTIF</w:t>
            </w:r>
          </w:p>
          <w:p>
            <w:pPr>
              <w:spacing w:before="40" w:after="60" w:line="240" w:lineRule="auto"/>
            </w:pPr>
            <w:r>
              <w:rPr>
                <w:rFonts w:ascii="Arial" w:hAnsi="Arial" w:eastAsia="Arial" w:cs="Arial"/>
                <w:b/>
                <w:color w:val="008A7A"/>
                <w:sz w:val="18"/>
              </w:rPr>
              <w:t>Module prévu pour le lancement</w:t>
            </w:r>
          </w:p>
          <w:p>
            <w:pPr>
              <w:spacing w:before="40" w:after="60" w:line="240" w:lineRule="auto"/>
            </w:pPr>
            <w:r>
              <w:rPr>
                <w:rFonts w:ascii="Arial" w:hAnsi="Arial" w:eastAsia="Arial" w:cs="Arial"/>
                <w:color w:val="13253A"/>
                <w:sz w:val="18"/>
              </w:rPr>
              <w:t>Questions tirées aléatoirement, score en direct, correction expliquée, attestation et campagnes pour les établissements ou entreprises.</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6F0FB"/>
            <w:vAlign w:val="center"/>
          </w:tcPr>
          <w:p>
            <w:pPr>
              <w:spacing w:line="240" w:lineRule="auto" w:after="60"/>
            </w:pPr>
            <w:r>
              <w:rPr>
                <w:rFonts w:ascii="Arial" w:hAnsi="Arial" w:eastAsia="Arial" w:cs="Arial"/>
                <w:b/>
                <w:color w:val="8A5FB8"/>
                <w:sz w:val="22"/>
              </w:rPr>
              <w:t>ASSISTANT DOCUMENTAIRE</w:t>
            </w:r>
          </w:p>
          <w:p>
            <w:pPr>
              <w:spacing w:before="40" w:after="60" w:line="240" w:lineRule="auto"/>
            </w:pPr>
            <w:r>
              <w:rPr>
                <w:rFonts w:ascii="Arial" w:hAnsi="Arial" w:eastAsia="Arial" w:cs="Arial"/>
                <w:b/>
                <w:color w:val="008A7A"/>
                <w:sz w:val="18"/>
              </w:rPr>
              <w:t>Module prévu pour le lancement</w:t>
            </w:r>
          </w:p>
          <w:p>
            <w:pPr>
              <w:spacing w:before="40" w:after="60" w:line="240" w:lineRule="auto"/>
            </w:pPr>
            <w:r>
              <w:rPr>
                <w:rFonts w:ascii="Arial" w:hAnsi="Arial" w:eastAsia="Arial" w:cs="Arial"/>
                <w:color w:val="13253A"/>
                <w:sz w:val="18"/>
              </w:rPr>
              <w:t>Interface conversationnelle limitée à un corpus validé, avec affichage des sources, limites claires et redirection vers les canaux officiels.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FF7E8"/>
            <w:vAlign w:val="center"/>
          </w:tcPr>
          <w:p>
            <w:pPr>
              <w:spacing w:line="240" w:lineRule="auto" w:after="60"/>
            </w:pPr>
            <w:r>
              <w:rPr>
                <w:rFonts w:ascii="Arial" w:hAnsi="Arial" w:eastAsia="Arial" w:cs="Arial"/>
                <w:b/>
                <w:color w:val="E98A3A"/>
                <w:sz w:val="22"/>
              </w:rPr>
              <w:t>MICRO-FORMATIONS</w:t>
            </w:r>
          </w:p>
          <w:p>
            <w:pPr>
              <w:spacing w:before="40" w:after="60" w:line="240" w:lineRule="auto"/>
            </w:pPr>
            <w:r>
              <w:rPr>
                <w:rFonts w:ascii="Arial" w:hAnsi="Arial" w:eastAsia="Arial" w:cs="Arial"/>
                <w:b/>
                <w:color w:val="008A7A"/>
                <w:sz w:val="18"/>
              </w:rPr>
              <w:t>Module prévu</w:t>
            </w:r>
          </w:p>
          <w:p>
            <w:pPr>
              <w:spacing w:before="40" w:after="60" w:line="240" w:lineRule="auto"/>
            </w:pPr>
            <w:r>
              <w:rPr>
                <w:rFonts w:ascii="Arial" w:hAnsi="Arial" w:eastAsia="Arial" w:cs="Arial"/>
                <w:color w:val="13253A"/>
                <w:sz w:val="18"/>
              </w:rPr>
              <w:t>Capsules de 2 à 3 minutes sur le logement, le kit, les coupures, la famille, les personnes vulnérables et le retour à la normale.</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DF0EC"/>
            <w:vAlign w:val="center"/>
          </w:tcPr>
          <w:p>
            <w:pPr>
              <w:spacing w:line="240" w:lineRule="auto" w:after="60"/>
            </w:pPr>
            <w:r>
              <w:rPr>
                <w:rFonts w:ascii="Arial" w:hAnsi="Arial" w:eastAsia="Arial" w:cs="Arial"/>
                <w:b/>
                <w:color w:val="C55A3A"/>
                <w:sz w:val="22"/>
              </w:rPr>
              <w:t>MISES EN SITUATION</w:t>
            </w:r>
          </w:p>
          <w:p>
            <w:pPr>
              <w:spacing w:before="40" w:after="60" w:line="240" w:lineRule="auto"/>
            </w:pPr>
            <w:r>
              <w:rPr>
                <w:rFonts w:ascii="Arial" w:hAnsi="Arial" w:eastAsia="Arial" w:cs="Arial"/>
                <w:b/>
                <w:color w:val="008A7A"/>
                <w:sz w:val="18"/>
              </w:rPr>
              <w:t>Module prévu</w:t>
            </w:r>
          </w:p>
          <w:p>
            <w:pPr>
              <w:spacing w:before="40" w:after="60" w:line="240" w:lineRule="auto"/>
            </w:pPr>
            <w:r>
              <w:rPr>
                <w:rFonts w:ascii="Arial" w:hAnsi="Arial" w:eastAsia="Arial" w:cs="Arial"/>
                <w:color w:val="13253A"/>
                <w:sz w:val="18"/>
              </w:rPr>
              <w:t>Scénarios courts où chaque décision influence le résultat, suivis d’un débrief expliquant les comportements les plus sûrs.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2F7FA"/>
            <w:vAlign w:val="center"/>
          </w:tcPr>
          <w:p>
            <w:pPr>
              <w:spacing w:line="240" w:lineRule="auto" w:after="60"/>
            </w:pPr>
            <w:r>
              <w:rPr>
                <w:rFonts w:ascii="Arial" w:hAnsi="Arial" w:eastAsia="Arial" w:cs="Arial"/>
                <w:b/>
                <w:color w:val="0B2D4F"/>
                <w:sz w:val="22"/>
              </w:rPr>
              <w:t>ATTESTATION ET RESSOURCES</w:t>
            </w:r>
          </w:p>
          <w:p>
            <w:pPr>
              <w:spacing w:before="40" w:after="60" w:line="240" w:lineRule="auto"/>
            </w:pPr>
            <w:r>
              <w:rPr>
                <w:rFonts w:ascii="Arial" w:hAnsi="Arial" w:eastAsia="Arial" w:cs="Arial"/>
                <w:b/>
                <w:color w:val="008A7A"/>
                <w:sz w:val="18"/>
              </w:rPr>
              <w:t>Socle visible, recette à finaliser</w:t>
            </w:r>
          </w:p>
          <w:p>
            <w:pPr>
              <w:spacing w:before="40" w:after="60" w:line="240" w:lineRule="auto"/>
            </w:pPr>
            <w:r>
              <w:rPr>
                <w:rFonts w:ascii="Arial" w:hAnsi="Arial" w:eastAsia="Arial" w:cs="Arial"/>
                <w:color w:val="13253A"/>
                <w:sz w:val="18"/>
              </w:rPr>
              <w:t>Attestation de sensibilisation, fiches et documents téléchargeables, sans créer de certification professionnelle.</w:t>
            </w:r>
          </w:p>
        </w:tc>
      </w:tr>
    </w:tbl>
    <w:p>
      <w:pPr>
        <w:spacing w:before="120" w:after="60" w:line="240" w:lineRule="auto"/>
        <w:pBdr>
          <w:bottom w:val="single" w:sz="8" w:space="3" w:color="12345B"/>
        </w:pBdr>
      </w:pPr>
      <w:r>
        <w:rPr>
          <w:rFonts w:ascii="Arial" w:hAnsi="Arial" w:eastAsia="Arial" w:cs="Arial"/>
          <w:b/>
          <w:color w:val="0B2D4F"/>
          <w:sz w:val="26"/>
        </w:rPr>
        <w:t>Principes de conception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Une entrée prioritaire par le diagnostic : l'utilisateur commence par sa situation, pas par une longue documentation.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Des contenus modulaires : une consigne peut être actualisée sans reconstruire l'ensemble de la plateforme.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Une expérience progressive : parcours rapide pour le grand public, ressources complémentaires pour approfondir.</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Une mesure d'impact intégrée : les indicateurs portent sur l'engagement réel, pas uniquement sur les pages vues.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Une réutilisation facilitée : QR codes, liens directs, campagnes et supports imprimables pour les relais territoriaux.</w:t>
      </w:r>
    </w:p>
    <w:tbl>
      <w:tblPr>
        <w:tblW w:type="auto" w:w="0"/>
        <w:jc w:val="center"/>
        <w:tblLayout w:type="autofit"/>
        <w:tblLook w:firstColumn="1" w:firstRow="1" w:lastColumn="0" w:lastRow="0" w:noHBand="0" w:noVBand="1" w:val="04A0"/>
      </w:tblPr>
      <w:tblGrid>
        <w:gridCol w:w="159"/>
        <w:gridCol w:w="10205"/>
      </w:tblGrid>
      <w:tr>
        <w:tc>
          <w:tcPr>
            <w:tcW w:type="dxa" w:w="5244"/>
            <w:shd w:fill="E98A3A"/>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FFF4E8"/>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Périmètre 2026 maîtrisé</w:t>
            </w:r>
          </w:p>
          <w:p>
            <w:pPr>
              <w:spacing w:before="40" w:after="60" w:line="240" w:lineRule="auto"/>
            </w:pPr>
            <w:r>
              <w:rPr>
                <w:rFonts w:ascii="Arial" w:hAnsi="Arial" w:eastAsia="Arial" w:cs="Arial"/>
                <w:color w:val="13253A"/>
                <w:sz w:val="19"/>
              </w:rPr>
              <w:t>La cartographie collaborative et les fonctions d'alerte en temps réel ne font pas partie de l'action JNR 2026. Ce choix limite les risques de fausse information, de modération et de confusion avec les dispositifs officiels.</w:t>
            </w:r>
          </w:p>
        </w:tc>
      </w:tr>
    </w:tbl>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5</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Module central : Mon Plan Résilience</w:t>
            </w:r>
          </w:p>
          <w:p>
            <w:pPr>
              <w:spacing w:before="40" w:after="60" w:line="240" w:lineRule="auto"/>
            </w:pPr>
            <w:r>
              <w:rPr>
                <w:rFonts w:ascii="Arial" w:hAnsi="Arial" w:eastAsia="Arial" w:cs="Arial"/>
                <w:color w:val="DCE9F1"/>
                <w:sz w:val="19"/>
              </w:rPr>
              <w:t>Du diagnostic à un plan d’actions personnalisé et immédiatement utilisable</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Déroulement du diagnostic</w:t>
      </w:r>
    </w:p>
    <w:p>
      <w:pPr>
        <w:spacing w:after="60" w:line="240" w:lineRule="auto"/>
        <w:jc w:val="both"/>
      </w:pPr>
      <w:r>
        <w:rPr>
          <w:rFonts w:ascii="Arial" w:hAnsi="Arial" w:eastAsia="Arial" w:cs="Arial"/>
          <w:color w:val="13253A"/>
          <w:sz w:val="20"/>
        </w:rPr>
        <w:t>Le diagnostic est conçu pour être terminé en 5 à 10 minutes. Il ne demande ni identité complète ni création de compte. Les questions sont regroupées par domaines afin d'identifier les points déjà maîtrisés et les fragilités prioritaires du foyer.</w:t>
      </w:r>
    </w:p>
    <w:tbl>
      <w:tblPr>
        <w:tblW w:type="auto" w:w="0"/>
        <w:jc w:val="center"/>
        <w:tblLayout w:type="autofit"/>
        <w:tblLook w:firstColumn="1" w:firstRow="1" w:lastColumn="0" w:lastRow="0" w:noHBand="0" w:noVBand="1" w:val="04A0"/>
      </w:tblPr>
      <w:tblGrid>
        <w:gridCol w:w="5244"/>
        <w:gridCol w:w="5244"/>
      </w:tblGrid>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FOYER</w:t>
            </w:r>
          </w:p>
          <w:p>
            <w:pPr>
              <w:spacing w:before="40" w:after="60" w:line="240" w:lineRule="auto"/>
            </w:pPr>
            <w:r>
              <w:rPr>
                <w:rFonts w:ascii="Arial" w:hAnsi="Arial" w:eastAsia="Arial" w:cs="Arial"/>
                <w:color w:val="13253A"/>
                <w:sz w:val="18"/>
              </w:rPr>
              <w:t>Composition, enfants, personnes âgées, animaux et besoins particuliers, sans collecte de détail médical.</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LOGEMENT</w:t>
            </w:r>
          </w:p>
          <w:p>
            <w:pPr>
              <w:spacing w:before="40" w:after="60" w:line="240" w:lineRule="auto"/>
            </w:pPr>
            <w:r>
              <w:rPr>
                <w:rFonts w:ascii="Arial" w:hAnsi="Arial" w:eastAsia="Arial" w:cs="Arial"/>
                <w:color w:val="13253A"/>
                <w:sz w:val="18"/>
              </w:rPr>
              <w:t>Type de logement, sécurisation des ouvertures, objets extérieurs, zones de repli et exposition connue.</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EAU ET ALIMENTATION</w:t>
            </w:r>
          </w:p>
          <w:p>
            <w:pPr>
              <w:spacing w:before="40" w:after="60" w:line="240" w:lineRule="auto"/>
            </w:pPr>
            <w:r>
              <w:rPr>
                <w:rFonts w:ascii="Arial" w:hAnsi="Arial" w:eastAsia="Arial" w:cs="Arial"/>
                <w:color w:val="13253A"/>
                <w:sz w:val="18"/>
              </w:rPr>
              <w:t>Réserves disponibles, conservation, autonomie du foyer et besoins spécifiques.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ÉNERGIE ET ÉCLAIRAGE</w:t>
            </w:r>
          </w:p>
          <w:p>
            <w:pPr>
              <w:spacing w:before="40" w:after="60" w:line="240" w:lineRule="auto"/>
            </w:pPr>
            <w:r>
              <w:rPr>
                <w:rFonts w:ascii="Arial" w:hAnsi="Arial" w:eastAsia="Arial" w:cs="Arial"/>
                <w:color w:val="13253A"/>
                <w:sz w:val="18"/>
              </w:rPr>
              <w:t>Lampes, batteries, moyens de recharge, coupure électrique et usage sécurisé des équipements.</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INFORMATION ET COMMUNICATION</w:t>
            </w:r>
          </w:p>
          <w:p>
            <w:pPr>
              <w:spacing w:before="40" w:after="60" w:line="240" w:lineRule="auto"/>
            </w:pPr>
            <w:r>
              <w:rPr>
                <w:rFonts w:ascii="Arial" w:hAnsi="Arial" w:eastAsia="Arial" w:cs="Arial"/>
                <w:color w:val="13253A"/>
                <w:sz w:val="18"/>
              </w:rPr>
              <w:t>Téléphones, radio, numéros utiles, compréhension des alertes et organisation familiale.</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DOCUMENTS ET SANTÉ</w:t>
            </w:r>
          </w:p>
          <w:p>
            <w:pPr>
              <w:spacing w:before="40" w:after="60" w:line="240" w:lineRule="auto"/>
            </w:pPr>
            <w:r>
              <w:rPr>
                <w:rFonts w:ascii="Arial" w:hAnsi="Arial" w:eastAsia="Arial" w:cs="Arial"/>
                <w:color w:val="13253A"/>
                <w:sz w:val="18"/>
              </w:rPr>
              <w:t>Copies protégées, trousse de premiers secours et anticipation des besoins essentiels, sans détail médical.</w:t>
            </w:r>
          </w:p>
        </w:tc>
      </w:tr>
    </w:tbl>
    <w:p>
      <w:pPr>
        <w:spacing w:before="120" w:after="60" w:line="240" w:lineRule="auto"/>
        <w:pBdr>
          <w:bottom w:val="single" w:sz="8" w:space="3" w:color="12345B"/>
        </w:pBdr>
      </w:pPr>
      <w:r>
        <w:rPr>
          <w:rFonts w:ascii="Arial" w:hAnsi="Arial" w:eastAsia="Arial" w:cs="Arial"/>
          <w:b/>
          <w:color w:val="0B2D4F"/>
          <w:sz w:val="26"/>
        </w:rPr>
        <w:t>Logique de restitution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Un score global de préparation, présenté comme un repère pédagogique et non comme une garantie de sécurité.</w:t>
      </w:r>
    </w:p>
    <w:p>
      <w:pPr>
        <w:spacing w:after="60" w:line="240" w:lineRule="auto"/>
        <w:ind w:left="198" w:hanging="142"/>
      </w:pPr>
      <w:r>
        <w:rPr>
          <w:rFonts w:ascii="Arial" w:hAnsi="Arial" w:eastAsia="Arial" w:cs="Arial"/>
          <w:b/>
          <w:color w:val="008A7A"/>
          <w:sz w:val="20"/>
        </w:rPr>
        <w:t>• Un niveau de préparation lisible, calculé selon un barème documenté et validé avant l'ouverture publique.</w:t>
      </w:r>
      <w:r>
        <w:rPr>
          <w:rFonts w:ascii="Arial" w:hAnsi="Arial" w:eastAsia="Arial" w:cs="Arial"/>
          <w:color w:val="13253A"/>
          <w:sz w:val="20"/>
        </w:rPr>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Trois à cinq priorités personnalisées, classées selon leur criticité et leur faisabilité.</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Un plan d'actions organisé par horizon : à faire maintenant, cette semaine, puis à vérifier régulièrement.</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Une checklist cyclone/inondation et une liste de kit d'urgence générées selon les réponses.</w:t>
      </w:r>
    </w:p>
    <w:p>
      <w:pPr>
        <w:spacing w:after="60" w:line="240" w:lineRule="auto"/>
        <w:ind w:left="198" w:hanging="142"/>
      </w:pPr>
      <w:r>
        <w:rPr>
          <w:rFonts w:ascii="Arial" w:hAnsi="Arial" w:eastAsia="Arial" w:cs="Arial"/>
          <w:b/>
          <w:color w:val="008A7A"/>
          <w:sz w:val="20"/>
        </w:rPr>
        <w:t>• Une attestation facultative de participation, sans valeur de certification professionnelle et sans conservation du nom après génération sauf consentement explicite.</w:t>
      </w:r>
      <w:r>
        <w:rPr>
          <w:rFonts w:ascii="Arial" w:hAnsi="Arial" w:eastAsia="Arial" w:cs="Arial"/>
          <w:color w:val="13253A"/>
          <w:sz w:val="20"/>
        </w:rPr>
      </w:r>
    </w:p>
    <w:p>
      <w:pPr>
        <w:spacing w:before="100" w:after="60" w:line="240" w:lineRule="auto"/>
        <w:jc w:val="center"/>
      </w:pPr>
      <w:r>
        <w:rPr>
          <w:rFonts w:ascii="Arial" w:hAnsi="Arial" w:eastAsia="Arial" w:cs="Arial"/>
        </w:rPr>
        <w:drawing>
          <wp:inline xmlns:a="http://schemas.openxmlformats.org/drawingml/2006/main" xmlns:pic="http://schemas.openxmlformats.org/drawingml/2006/picture">
            <wp:extent cx="6480000" cy="1684800"/>
            <wp:docPr id="2" name="Picture 2" descr="Image: image2.png"/>
            <wp:cNvGraphicFramePr>
              <a:graphicFrameLocks noChangeAspect="1"/>
            </wp:cNvGraphicFramePr>
            <a:graphic>
              <a:graphicData uri="http://schemas.openxmlformats.org/drawingml/2006/picture">
                <pic:pic>
                  <pic:nvPicPr>
                    <pic:cNvPr id="0" name="parcours.png"/>
                    <pic:cNvPicPr/>
                  </pic:nvPicPr>
                  <pic:blipFill>
                    <a:blip r:embed="rId13"/>
                    <a:stretch>
                      <a:fillRect/>
                    </a:stretch>
                  </pic:blipFill>
                  <pic:spPr>
                    <a:xfrm>
                      <a:off x="0" y="0"/>
                      <a:ext cx="6480000" cy="1684800"/>
                    </a:xfrm>
                    <a:prstGeom prst="rect"/>
                  </pic:spPr>
                </pic:pic>
              </a:graphicData>
            </a:graphic>
          </wp:inline>
        </w:drawing>
      </w:r>
    </w:p>
    <w:tbl>
      <w:tblPr>
        <w:tblW w:type="auto" w:w="0"/>
        <w:jc w:val="center"/>
        <w:tblLayout w:type="autofit"/>
        <w:tblLook w:firstColumn="1" w:firstRow="1" w:lastColumn="0" w:lastRow="0" w:noHBand="0" w:noVBand="1" w:val="04A0"/>
      </w:tblPr>
      <w:tblGrid>
        <w:gridCol w:w="159"/>
        <w:gridCol w:w="10205"/>
      </w:tblGrid>
      <w:tr>
        <w:tc>
          <w:tcPr>
            <w:tcW w:type="dxa" w:w="5244"/>
            <w:shd w:fill="2D6B9F"/>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EEF6FB"/>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Exemple de personnalisation</w:t>
            </w:r>
          </w:p>
          <w:p>
            <w:pPr>
              <w:spacing w:before="40" w:after="60" w:line="240" w:lineRule="auto"/>
            </w:pPr>
            <w:r>
              <w:rPr>
                <w:rFonts w:ascii="Arial" w:hAnsi="Arial" w:eastAsia="Arial" w:cs="Arial"/>
                <w:color w:val="13253A"/>
                <w:sz w:val="19"/>
              </w:rPr>
              <w:t>Un foyer avec un nourrisson, sans réserve d'eau et avec des documents uniquement sur papier ne reçoit pas la même priorité qu'un foyer déjà équipé mais qui ne connaît pas les consignes pendant l'œil du cyclone.</w:t>
            </w:r>
          </w:p>
        </w:tc>
      </w:tr>
    </w:tbl>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6</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Modules pédagogiques complémentaires</w:t>
            </w:r>
          </w:p>
          <w:p>
            <w:pPr>
              <w:spacing w:before="40" w:after="60" w:line="240" w:lineRule="auto"/>
            </w:pPr>
            <w:r>
              <w:rPr>
                <w:rFonts w:ascii="Arial" w:hAnsi="Arial" w:eastAsia="Arial" w:cs="Arial"/>
                <w:color w:val="DCE9F1"/>
                <w:sz w:val="19"/>
              </w:rPr>
              <w:t>Quiz, assistant, micro-formations et mises en situation</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Quiz interactif</w:t>
      </w:r>
    </w:p>
    <w:p>
      <w:pPr>
        <w:spacing w:after="60" w:line="240" w:lineRule="auto"/>
        <w:jc w:val="both"/>
      </w:pPr>
      <w:r>
        <w:rPr>
          <w:rFonts w:ascii="Arial" w:hAnsi="Arial" w:eastAsia="Arial" w:cs="Arial"/>
          <w:color w:val="13253A"/>
          <w:sz w:val="20"/>
        </w:rPr>
        <w:t>Le quiz prévu pour le lancement constitue une entrée rapide et ludique. Une session libre affiche un ensemble aléatoire de questions sur les quatre risques couverts. Chaque réponse est immédiatement expliquée et reliée à une source. Des codes de campagne pourront permettre à un établissement scolaire, une entreprise ou une collectivité de mobiliser un groupe sans collecter les noms complets.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Score en direct et correction pédagogique après chaque réponse.</w:t>
      </w:r>
    </w:p>
    <w:p>
      <w:pPr>
        <w:spacing w:after="60" w:line="240" w:lineRule="auto"/>
        <w:ind w:left="198" w:hanging="142"/>
      </w:pPr>
      <w:r>
        <w:rPr>
          <w:rFonts w:ascii="Arial" w:hAnsi="Arial" w:eastAsia="Arial" w:cs="Arial"/>
          <w:b/>
          <w:color w:val="008A7A"/>
          <w:sz w:val="20"/>
        </w:rPr>
        <w:t>• Attestation de participation mentionnant le score obtenu, sans valeur de certification professionnelle.</w:t>
      </w:r>
      <w:r>
        <w:rPr>
          <w:rFonts w:ascii="Arial" w:hAnsi="Arial" w:eastAsia="Arial" w:cs="Arial"/>
          <w:color w:val="13253A"/>
          <w:sz w:val="20"/>
        </w:rPr>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Classement facultatif sous pseudonyme ; résultats agrégés pour les campagnes.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Banque de questions administrable, avec date de validation et source.</w:t>
      </w:r>
    </w:p>
    <w:p>
      <w:pPr>
        <w:spacing w:before="120" w:after="60" w:line="240" w:lineRule="auto"/>
        <w:pBdr>
          <w:bottom w:val="single" w:sz="8" w:space="3" w:color="12345B"/>
        </w:pBdr>
      </w:pPr>
      <w:r>
        <w:rPr>
          <w:rFonts w:ascii="Arial" w:hAnsi="Arial" w:eastAsia="Arial" w:cs="Arial"/>
          <w:b/>
          <w:color w:val="0B2D4F"/>
          <w:sz w:val="26"/>
        </w:rPr>
        <w:t>Assistant documentaire « Réflexes Cyclone » - module prévu</w:t>
      </w:r>
    </w:p>
    <w:p>
      <w:pPr>
        <w:spacing w:after="60" w:line="240" w:lineRule="auto"/>
        <w:jc w:val="both"/>
      </w:pPr>
      <w:r>
        <w:rPr>
          <w:rFonts w:ascii="Arial" w:hAnsi="Arial" w:eastAsia="Arial" w:cs="Arial"/>
          <w:color w:val="13253A"/>
          <w:sz w:val="20"/>
        </w:rPr>
        <w:t>L'assistant prévu fournit des réponses courtes aux questions fréquentes : préparation du logement, composition du kit, protection des documents, coupures d'eau et d'électricité, comportement pendant l'œil du cyclone, aide aux personnes vulnérables et retour à la normale.</w:t>
      </w:r>
    </w:p>
    <w:tbl>
      <w:tblPr>
        <w:tblW w:type="auto" w:w="0"/>
        <w:jc w:val="center"/>
        <w:tblLayout w:type="autofit"/>
        <w:tblLook w:firstColumn="1" w:firstRow="1" w:lastColumn="0" w:lastRow="0" w:noHBand="0" w:noVBand="1" w:val="04A0"/>
      </w:tblPr>
      <w:tblGrid>
        <w:gridCol w:w="159"/>
        <w:gridCol w:w="10205"/>
      </w:tblGrid>
      <w:tr>
        <w:tc>
          <w:tcPr>
            <w:tcW w:type="dxa" w:w="5244"/>
            <w:shd w:fill="8A5FB8"/>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F6F0FB"/>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Garde-fous obligatoires</w:t>
            </w:r>
          </w:p>
          <w:p>
            <w:pPr>
              <w:spacing w:before="40" w:after="60" w:line="240" w:lineRule="auto"/>
            </w:pPr>
            <w:r>
              <w:rPr>
                <w:rFonts w:ascii="Arial" w:hAnsi="Arial" w:eastAsia="Arial" w:cs="Arial"/>
                <w:color w:val="13253A"/>
                <w:sz w:val="19"/>
              </w:rPr>
              <w:t>L'assistant prévu s'appuie sur une base documentaire validée, affiche la source de la réponse, refuse les demandes hors périmètre et rappelle qu'en situation d'urgence l'utilisateur doit suivre les alertes et consignes officielles. Il ne produit pas de prévision ni de diagnostic de sécurité individuel.</w:t>
            </w:r>
          </w:p>
        </w:tc>
      </w:tr>
    </w:tbl>
    <w:p>
      <w:pPr>
        <w:spacing w:before="120" w:after="60" w:line="240" w:lineRule="auto"/>
        <w:pBdr>
          <w:bottom w:val="single" w:sz="8" w:space="3" w:color="12345B"/>
        </w:pBdr>
      </w:pPr>
      <w:r>
        <w:rPr>
          <w:rFonts w:ascii="Arial" w:hAnsi="Arial" w:eastAsia="Arial" w:cs="Arial"/>
          <w:b/>
          <w:color w:val="0B2D4F"/>
          <w:sz w:val="26"/>
        </w:rPr>
        <w:t>Micro-formations et mises en situation - modules prévus</w:t>
      </w:r>
    </w:p>
    <w:tbl>
      <w:tblPr>
        <w:tblW w:type="auto" w:w="0"/>
        <w:jc w:val="center"/>
        <w:tblLayout w:type="autofit"/>
        <w:tblLook w:firstColumn="1" w:firstRow="1" w:lastColumn="0" w:lastRow="0" w:noHBand="0" w:noVBand="1" w:val="04A0"/>
      </w:tblPr>
      <w:tblGrid>
        <w:gridCol w:w="3118"/>
        <w:gridCol w:w="7200"/>
      </w:tblGrid>
      <w:tr>
        <w:tc>
          <w:tcPr>
            <w:tcW w:type="dxa" w:w="5244"/>
            <w:shd w:fill="12345B"/>
            <w:tcMar>
              <w:top w:w="70" w:type="dxa"/>
              <w:start w:w="100" w:type="dxa"/>
              <w:bottom w:w="70" w:type="dxa"/>
              <w:end w:w="100" w:type="dxa"/>
              <w:left w:w="100" w:type="dxa"/>
              <w:right w:w="100" w:type="dxa"/>
            </w:tcMar>
            <w:vAlign w:val="center"/>
          </w:tcPr>
          <w:p>
            <w:pPr>
              <w:spacing w:line="240" w:lineRule="auto" w:after="60"/>
            </w:pPr>
            <w:r>
              <w:rPr>
                <w:rFonts w:ascii="Arial" w:hAnsi="Arial" w:eastAsia="Arial" w:cs="Arial"/>
                <w:b/>
                <w:color w:val="FFFFFF"/>
                <w:sz w:val="18"/>
              </w:rPr>
              <w:t>Thème</w:t>
            </w:r>
          </w:p>
        </w:tc>
        <w:tc>
          <w:tcPr>
            <w:tcW w:type="dxa" w:w="5244"/>
            <w:shd w:fill="12345B"/>
            <w:tcMar>
              <w:top w:w="70" w:type="dxa"/>
              <w:start w:w="100" w:type="dxa"/>
              <w:bottom w:w="70" w:type="dxa"/>
              <w:end w:w="100" w:type="dxa"/>
              <w:left w:w="100" w:type="dxa"/>
              <w:right w:w="100" w:type="dxa"/>
            </w:tcMar>
            <w:vAlign w:val="center"/>
          </w:tcPr>
          <w:p>
            <w:pPr>
              <w:spacing w:line="240" w:lineRule="auto" w:after="60"/>
            </w:pPr>
            <w:r>
              <w:rPr>
                <w:rFonts w:ascii="Arial" w:hAnsi="Arial" w:eastAsia="Arial" w:cs="Arial"/>
                <w:b/>
                <w:color w:val="FFFFFF"/>
                <w:sz w:val="18"/>
              </w:rPr>
              <w:t>Contenu visé</w:t>
            </w:r>
          </w:p>
        </w:tc>
      </w:tr>
      <w:tr>
        <w:tc>
          <w:tcPr>
            <w:tcW w:type="dxa" w:w="3118"/>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Préparer son logement</w:t>
            </w:r>
          </w:p>
        </w:tc>
        <w:tc>
          <w:tcPr>
            <w:tcW w:type="dxa" w:w="7200"/>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Objets extérieurs, ouvertures, zone de repli et vérifications avant saison.</w:t>
            </w:r>
          </w:p>
        </w:tc>
      </w:tr>
      <w:tr>
        <w:tc>
          <w:tcPr>
            <w:tcW w:type="dxa" w:w="3118"/>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Composer le kit d’urgence</w:t>
            </w:r>
          </w:p>
        </w:tc>
        <w:tc>
          <w:tcPr>
            <w:tcW w:type="dxa" w:w="7200"/>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Eau, alimentation, éclairage, communication, santé et documents.</w:t>
            </w:r>
          </w:p>
        </w:tc>
      </w:tr>
      <w:tr>
        <w:tc>
          <w:tcPr>
            <w:tcW w:type="dxa" w:w="3118"/>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Faire face aux coupures</w:t>
            </w:r>
          </w:p>
        </w:tc>
        <w:tc>
          <w:tcPr>
            <w:tcW w:type="dxa" w:w="7200"/>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Réflexes en cas de coupure d’eau, d’électricité ou de communications.</w:t>
            </w:r>
          </w:p>
        </w:tc>
      </w:tr>
      <w:tr>
        <w:tc>
          <w:tcPr>
            <w:tcW w:type="dxa" w:w="3118"/>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Protéger sa famille</w:t>
            </w:r>
          </w:p>
        </w:tc>
        <w:tc>
          <w:tcPr>
            <w:tcW w:type="dxa" w:w="7200"/>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Organisation du foyer, enfants, personnes vulnérables et animaux.</w:t>
            </w:r>
          </w:p>
        </w:tc>
      </w:tr>
      <w:tr>
        <w:tc>
          <w:tcPr>
            <w:tcW w:type="dxa" w:w="3118"/>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Après la catastrophe</w:t>
            </w:r>
          </w:p>
        </w:tc>
        <w:tc>
          <w:tcPr>
            <w:tcW w:type="dxa" w:w="7200"/>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Sortie prudente, dangers résiduels, information et retour progressif à la normale.</w:t>
            </w:r>
          </w:p>
        </w:tc>
      </w:tr>
    </w:tbl>
    <w:p>
      <w:pPr>
        <w:spacing w:after="60" w:line="240" w:lineRule="auto"/>
        <w:jc w:val="both"/>
      </w:pPr>
      <w:r>
        <w:rPr>
          <w:rFonts w:ascii="Arial" w:hAnsi="Arial" w:eastAsia="Arial" w:cs="Arial"/>
          <w:color w:val="13253A"/>
          <w:sz w:val="19"/>
        </w:rPr>
        <w:t>Les mises en situation réutilisent les mêmes consignes validées. Elles placent l'utilisateur devant des choix concrets puis expliquent les conséquences de chaque décision. Le caractère ludique ne doit jamais simplifier ou déformer une consigne de sécurité.</w:t>
      </w:r>
    </w:p>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7</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Parcours utilisateur et expérience mobile</w:t>
            </w:r>
          </w:p>
          <w:p>
            <w:pPr>
              <w:spacing w:before="40" w:after="60" w:line="240" w:lineRule="auto"/>
            </w:pPr>
            <w:r>
              <w:rPr>
                <w:rFonts w:ascii="Arial" w:hAnsi="Arial" w:eastAsia="Arial" w:cs="Arial"/>
                <w:color w:val="DCE9F1"/>
                <w:sz w:val="19"/>
              </w:rPr>
              <w:t>Une utilisation simple, rapide et compatible avec des contraintes de connexion</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Parcours principal</w:t>
      </w:r>
    </w:p>
    <w:p>
      <w:pPr>
        <w:spacing w:line="240" w:lineRule="auto" w:after="60"/>
        <w:jc w:val="center"/>
      </w:pPr>
      <w:r>
        <w:rPr>
          <w:rFonts w:ascii="Arial" w:hAnsi="Arial" w:eastAsia="Arial" w:cs="Arial"/>
        </w:rPr>
        <w:drawing>
          <wp:inline xmlns:a="http://schemas.openxmlformats.org/drawingml/2006/main" xmlns:pic="http://schemas.openxmlformats.org/drawingml/2006/picture">
            <wp:extent cx="6480000" cy="1684800"/>
            <wp:docPr id="3" name="Picture 3" descr="Image: image2.png"/>
            <wp:cNvGraphicFramePr>
              <a:graphicFrameLocks noChangeAspect="1"/>
            </wp:cNvGraphicFramePr>
            <a:graphic>
              <a:graphicData uri="http://schemas.openxmlformats.org/drawingml/2006/picture">
                <pic:pic>
                  <pic:nvPicPr>
                    <pic:cNvPr id="0" name="parcours.png"/>
                    <pic:cNvPicPr/>
                  </pic:nvPicPr>
                  <pic:blipFill>
                    <a:blip r:embed="rId13"/>
                    <a:stretch>
                      <a:fillRect/>
                    </a:stretch>
                  </pic:blipFill>
                  <pic:spPr>
                    <a:xfrm>
                      <a:off x="0" y="0"/>
                      <a:ext cx="6480000" cy="1684800"/>
                    </a:xfrm>
                    <a:prstGeom prst="rect"/>
                  </pic:spPr>
                </pic:pic>
              </a:graphicData>
            </a:graphic>
          </wp:inline>
        </w:drawing>
      </w:r>
    </w:p>
    <w:p>
      <w:pPr>
        <w:spacing w:before="120" w:after="60" w:line="240" w:lineRule="auto"/>
        <w:pBdr>
          <w:bottom w:val="single" w:sz="8" w:space="3" w:color="12345B"/>
        </w:pBdr>
      </w:pPr>
      <w:r>
        <w:rPr>
          <w:rFonts w:ascii="Arial" w:hAnsi="Arial" w:eastAsia="Arial" w:cs="Arial"/>
          <w:b/>
          <w:color w:val="0B2D4F"/>
          <w:sz w:val="26"/>
        </w:rPr>
        <w:t>Principes UX</w:t>
      </w:r>
    </w:p>
    <w:tbl>
      <w:tblPr>
        <w:tblW w:type="auto" w:w="0"/>
        <w:jc w:val="center"/>
        <w:tblLayout w:type="autofit"/>
        <w:tblLook w:firstColumn="1" w:firstRow="1" w:lastColumn="0" w:lastRow="0" w:noHBand="0" w:noVBand="1" w:val="04A0"/>
      </w:tblPr>
      <w:tblGrid>
        <w:gridCol w:w="5244"/>
        <w:gridCol w:w="5244"/>
      </w:tblGrid>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MOBILE-FIRST</w:t>
            </w:r>
          </w:p>
          <w:p>
            <w:pPr>
              <w:spacing w:before="40" w:after="60" w:line="240" w:lineRule="auto"/>
            </w:pPr>
            <w:r>
              <w:rPr>
                <w:rFonts w:ascii="Arial" w:hAnsi="Arial" w:eastAsia="Arial" w:cs="Arial"/>
                <w:color w:val="13253A"/>
                <w:sz w:val="18"/>
              </w:rPr>
              <w:t>Boutons larges, une question par écran, progression visible et absence de menus complexes pendant le parcours.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LANGAGE CLAIR</w:t>
            </w:r>
          </w:p>
          <w:p>
            <w:pPr>
              <w:spacing w:before="40" w:after="60" w:line="240" w:lineRule="auto"/>
            </w:pPr>
            <w:r>
              <w:rPr>
                <w:rFonts w:ascii="Arial" w:hAnsi="Arial" w:eastAsia="Arial" w:cs="Arial"/>
                <w:color w:val="13253A"/>
                <w:sz w:val="18"/>
              </w:rPr>
              <w:t>Phrases courtes, verbes d’action, explication des termes techniques et messages prioritaires immédiatement visibles.</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CONNEXION LIMITÉE</w:t>
            </w:r>
          </w:p>
          <w:p>
            <w:pPr>
              <w:spacing w:before="40" w:after="60" w:line="240" w:lineRule="auto"/>
            </w:pPr>
            <w:r>
              <w:rPr>
                <w:rFonts w:ascii="Arial" w:hAnsi="Arial" w:eastAsia="Arial" w:cs="Arial"/>
                <w:color w:val="13253A"/>
                <w:sz w:val="18"/>
              </w:rPr>
              <w:t>Pages légères, images optimisées, chargement différé des vidéos et possibilité d’imprimer les principaux supports.</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SANS COMPTE</w:t>
            </w:r>
          </w:p>
          <w:p>
            <w:pPr>
              <w:spacing w:before="40" w:after="60" w:line="240" w:lineRule="auto"/>
            </w:pPr>
            <w:r>
              <w:rPr>
                <w:rFonts w:ascii="Arial" w:hAnsi="Arial" w:eastAsia="Arial" w:cs="Arial"/>
                <w:color w:val="13253A"/>
                <w:sz w:val="18"/>
              </w:rPr>
              <w:t>Accès direct au diagnostic et au quiz. Les résultats personnels peuvent rester dans le navigateur ou être exportés en PDF.</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ACCESSIBILITÉ</w:t>
            </w:r>
          </w:p>
          <w:p>
            <w:pPr>
              <w:spacing w:before="40" w:after="60" w:line="240" w:lineRule="auto"/>
            </w:pPr>
            <w:r>
              <w:rPr>
                <w:rFonts w:ascii="Arial" w:hAnsi="Arial" w:eastAsia="Arial" w:cs="Arial"/>
                <w:color w:val="13253A"/>
                <w:sz w:val="18"/>
              </w:rPr>
              <w:t>Navigation clavier, contrastes suffisants, textes alternatifs, focus visible et absence d’information reposant uniquement sur la couleur.</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CONFIANCE</w:t>
            </w:r>
          </w:p>
          <w:p>
            <w:pPr>
              <w:spacing w:before="40" w:after="60" w:line="240" w:lineRule="auto"/>
            </w:pPr>
            <w:r>
              <w:rPr>
                <w:rFonts w:ascii="Arial" w:hAnsi="Arial" w:eastAsia="Arial" w:cs="Arial"/>
                <w:color w:val="13253A"/>
                <w:sz w:val="18"/>
              </w:rPr>
              <w:t>Sources accessibles, date de mise à jour, limites de la plateforme et accès rapide aux liens institutionnels.</w:t>
            </w:r>
          </w:p>
        </w:tc>
      </w:tr>
    </w:tbl>
    <w:p>
      <w:pPr>
        <w:spacing w:before="120" w:after="60" w:line="240" w:lineRule="auto"/>
        <w:pBdr>
          <w:bottom w:val="single" w:sz="8" w:space="3" w:color="12345B"/>
        </w:pBdr>
      </w:pPr>
      <w:r>
        <w:rPr>
          <w:rFonts w:ascii="Arial" w:hAnsi="Arial" w:eastAsia="Arial" w:cs="Arial"/>
          <w:b/>
          <w:color w:val="0B2D4F"/>
          <w:sz w:val="26"/>
        </w:rPr>
        <w:t>Écrans structurants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Accueil : promesse, risques couverts, durée du diagnostic et bouton de démarrage visible immédiatement.</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Questionnaire : contexte bref, choix simples, possibilité de revenir avant validation et progression explicite.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Résultat : score, niveau, forces, vulnérabilités, priorités et accès aux documents générés.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Fiche risque : que faire avant, pendant et après ; erreurs à éviter ; source et date de validation.</w:t>
      </w:r>
    </w:p>
    <w:p>
      <w:pPr>
        <w:spacing w:after="60" w:line="240" w:lineRule="auto"/>
        <w:ind w:left="198" w:hanging="142"/>
      </w:pPr>
      <w:r>
        <w:rPr>
          <w:rFonts w:ascii="Arial" w:hAnsi="Arial" w:eastAsia="Arial" w:cs="Arial"/>
          <w:b/>
          <w:color w:val="008A7A"/>
          <w:sz w:val="20"/>
        </w:rPr>
        <w:t>• Assistant prévu : question, réponse courte, source, limites et redirection vers les canaux officiels.</w:t>
      </w:r>
      <w:r>
        <w:rPr>
          <w:rFonts w:ascii="Arial" w:hAnsi="Arial" w:eastAsia="Arial" w:cs="Arial"/>
          <w:color w:val="13253A"/>
          <w:sz w:val="20"/>
        </w:rPr>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Ressources : documents officiels, liens utiles, supports imprimables et numéros adaptés.</w:t>
      </w:r>
    </w:p>
    <w:tbl>
      <w:tblPr>
        <w:tblW w:type="auto" w:w="0"/>
        <w:jc w:val="center"/>
        <w:tblLayout w:type="autofit"/>
        <w:tblLook w:firstColumn="1" w:firstRow="1" w:lastColumn="0" w:lastRow="0" w:noHBand="0" w:noVBand="1" w:val="04A0"/>
      </w:tblPr>
      <w:tblGrid>
        <w:gridCol w:w="159"/>
        <w:gridCol w:w="10205"/>
      </w:tblGrid>
      <w:tr>
        <w:tc>
          <w:tcPr>
            <w:tcW w:type="dxa" w:w="5244"/>
            <w:shd w:fill="2A9D8F"/>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EEF9F7"/>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Multilingue progressif</w:t>
            </w:r>
          </w:p>
          <w:p>
            <w:pPr>
              <w:spacing w:before="40" w:after="60" w:line="240" w:lineRule="auto"/>
            </w:pPr>
            <w:r>
              <w:rPr>
                <w:rFonts w:ascii="Arial" w:hAnsi="Arial" w:eastAsia="Arial" w:cs="Arial"/>
                <w:color w:val="13253A"/>
                <w:sz w:val="19"/>
              </w:rPr>
              <w:t>Le français reste la langue de référence obligatoire. La plateforme est conçue pour accueillir des versions complémentaires en shimaoré et en kibushi, après validation des traductions et sans altérer la précision des consignes.</w:t>
            </w:r>
          </w:p>
        </w:tc>
      </w:tr>
    </w:tbl>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8</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Adaptation à Mayotte et ancrage territorial</w:t>
            </w:r>
          </w:p>
          <w:p>
            <w:pPr>
              <w:spacing w:before="40" w:after="60" w:line="240" w:lineRule="auto"/>
            </w:pPr>
            <w:r>
              <w:rPr>
                <w:rFonts w:ascii="Arial" w:hAnsi="Arial" w:eastAsia="Arial" w:cs="Arial"/>
                <w:color w:val="DCE9F1"/>
                <w:sz w:val="19"/>
              </w:rPr>
              <w:t>Une plateforme pensée pour le territoire, ses usages et ses relais</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Une contextualisation au-delà du simple nom « 976 »</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Sélection de risques effectivement présents sur le territoire : cyclone, inondation, séisme et mouvement de terrain.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Scénarios intégrant les coupures prolongées, la protection des documents, les contraintes de communication et l'organisation du foyer.</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Priorité au smartphone et à la sobriété des pages pour faciliter l'accès depuis des équipements variés.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Supports téléchargeables et imprimables afin de conserver les informations essentielles hors connexion.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Références locales et nationales visibles, avec mise à jour des consignes lorsqu'une source officielle évolue.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Possibilité de campagnes ou de QR codes dédiés aux communes, établissements, associations et entreprises.</w:t>
      </w:r>
    </w:p>
    <w:p>
      <w:pPr>
        <w:spacing w:before="120" w:after="60" w:line="240" w:lineRule="auto"/>
        <w:pBdr>
          <w:bottom w:val="single" w:sz="8" w:space="3" w:color="12345B"/>
        </w:pBdr>
      </w:pPr>
      <w:r>
        <w:rPr>
          <w:rFonts w:ascii="Arial" w:hAnsi="Arial" w:eastAsia="Arial" w:cs="Arial"/>
          <w:b/>
          <w:color w:val="0B2D4F"/>
          <w:sz w:val="26"/>
        </w:rPr>
        <w:t>Partenariats recherchés</w:t>
      </w:r>
    </w:p>
    <w:p>
      <w:pPr>
        <w:spacing w:after="60" w:line="240" w:lineRule="auto"/>
        <w:jc w:val="both"/>
      </w:pPr>
      <w:r>
        <w:rPr>
          <w:rFonts w:ascii="Arial" w:hAnsi="Arial" w:eastAsia="Arial" w:cs="Arial"/>
          <w:color w:val="13253A"/>
          <w:sz w:val="20"/>
        </w:rPr>
        <w:t>GT SAS assure la conception, le développement, l'hébergement et le suivi technique. L'ancrage local sera renforcé par la recherche de partenaires pouvant relire les contenus, orienter vers les ressources adaptées et relayer gratuitement la plateforme auprès de leurs publics.</w:t>
      </w:r>
    </w:p>
    <w:tbl>
      <w:tblPr>
        <w:tblW w:type="auto" w:w="0"/>
        <w:jc w:val="center"/>
        <w:tblLayout w:type="autofit"/>
        <w:tblLook w:firstColumn="1" w:firstRow="1" w:lastColumn="0" w:lastRow="0" w:noHBand="0" w:noVBand="1" w:val="04A0"/>
      </w:tblPr>
      <w:tblGrid>
        <w:gridCol w:w="3231"/>
        <w:gridCol w:w="7087"/>
      </w:tblGrid>
      <w:tr>
        <w:tc>
          <w:tcPr>
            <w:tcW w:type="dxa" w:w="5244"/>
            <w:shd w:fill="12345B"/>
            <w:tcMar>
              <w:top w:w="70" w:type="dxa"/>
              <w:start w:w="100" w:type="dxa"/>
              <w:bottom w:w="70" w:type="dxa"/>
              <w:end w:w="100" w:type="dxa"/>
              <w:left w:w="100" w:type="dxa"/>
              <w:right w:w="100" w:type="dxa"/>
            </w:tcMar>
            <w:vAlign w:val="center"/>
          </w:tcPr>
          <w:p>
            <w:pPr>
              <w:spacing w:line="240" w:lineRule="auto" w:after="60"/>
            </w:pPr>
            <w:r>
              <w:rPr>
                <w:rFonts w:ascii="Arial" w:hAnsi="Arial" w:eastAsia="Arial" w:cs="Arial"/>
                <w:b/>
                <w:color w:val="FFFFFF"/>
                <w:sz w:val="18"/>
              </w:rPr>
              <w:t>Acteur recherché</w:t>
            </w:r>
          </w:p>
        </w:tc>
        <w:tc>
          <w:tcPr>
            <w:tcW w:type="dxa" w:w="5244"/>
            <w:shd w:fill="12345B"/>
            <w:tcMar>
              <w:top w:w="70" w:type="dxa"/>
              <w:start w:w="100" w:type="dxa"/>
              <w:bottom w:w="70" w:type="dxa"/>
              <w:end w:w="100" w:type="dxa"/>
              <w:left w:w="100" w:type="dxa"/>
              <w:right w:w="100" w:type="dxa"/>
            </w:tcMar>
            <w:vAlign w:val="center"/>
          </w:tcPr>
          <w:p>
            <w:pPr>
              <w:spacing w:line="240" w:lineRule="auto" w:after="60"/>
            </w:pPr>
            <w:r>
              <w:rPr>
                <w:rFonts w:ascii="Arial" w:hAnsi="Arial" w:eastAsia="Arial" w:cs="Arial"/>
                <w:b/>
                <w:color w:val="FFFFFF"/>
                <w:sz w:val="18"/>
              </w:rPr>
              <w:t>Contribution possible</w:t>
            </w:r>
          </w:p>
        </w:tc>
      </w:tr>
      <w:tr>
        <w:tc>
          <w:tcPr>
            <w:tcW w:type="dxa" w:w="3231"/>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Préfecture / protection civile</w:t>
            </w:r>
          </w:p>
        </w:tc>
        <w:tc>
          <w:tcPr>
            <w:tcW w:type="dxa" w:w="7087"/>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Références officielles, cohérence des messages et orientation vers les ressources publiques.</w:t>
            </w:r>
          </w:p>
        </w:tc>
      </w:tr>
      <w:tr>
        <w:tc>
          <w:tcPr>
            <w:tcW w:type="dxa" w:w="3231"/>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SDIS et associations de sécurité civile</w:t>
            </w:r>
          </w:p>
        </w:tc>
        <w:tc>
          <w:tcPr>
            <w:tcW w:type="dxa" w:w="7087"/>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Relecture de comportements de sauvegarde, ressources pédagogiques et diffusion.</w:t>
            </w:r>
          </w:p>
        </w:tc>
      </w:tr>
      <w:tr>
        <w:tc>
          <w:tcPr>
            <w:tcW w:type="dxa" w:w="3231"/>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Rectorat et établissements scolaires</w:t>
            </w:r>
          </w:p>
        </w:tc>
        <w:tc>
          <w:tcPr>
            <w:tcW w:type="dxa" w:w="7087"/>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Expérimentation du quiz, campagnes de sensibilisation et retours pédagogiques.</w:t>
            </w:r>
          </w:p>
        </w:tc>
      </w:tr>
      <w:tr>
        <w:tc>
          <w:tcPr>
            <w:tcW w:type="dxa" w:w="3231"/>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Communes et CCAS</w:t>
            </w:r>
          </w:p>
        </w:tc>
        <w:tc>
          <w:tcPr>
            <w:tcW w:type="dxa" w:w="7087"/>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Relais auprès des habitants, publics vulnérables et réseaux de proximité.</w:t>
            </w:r>
          </w:p>
        </w:tc>
      </w:tr>
      <w:tr>
        <w:tc>
          <w:tcPr>
            <w:tcW w:type="dxa" w:w="3231"/>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Entreprises et services publics</w:t>
            </w:r>
          </w:p>
        </w:tc>
        <w:tc>
          <w:tcPr>
            <w:tcW w:type="dxa" w:w="7087"/>
            <w:shd w:fill="FFFFFF"/>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Sensibilisation des salariés et agents ; diffusion de campagnes internes.</w:t>
            </w:r>
          </w:p>
        </w:tc>
      </w:tr>
      <w:tr>
        <w:tc>
          <w:tcPr>
            <w:tcW w:type="dxa" w:w="3231"/>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7"/>
              </w:rPr>
              <w:t>Médias et réseaux associatifs</w:t>
            </w:r>
          </w:p>
        </w:tc>
        <w:tc>
          <w:tcPr>
            <w:tcW w:type="dxa" w:w="7087"/>
            <w:shd w:fill="F5F8FA"/>
            <w:tcMar>
              <w:top w:w="70" w:type="dxa"/>
              <w:start w:w="100" w:type="dxa"/>
              <w:bottom w:w="70" w:type="dxa"/>
              <w:end w:w="10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7"/>
              </w:rPr>
              <w:t>Relais du lien, QR codes et mise en visibilité du dispositif gratuit.</w:t>
            </w:r>
          </w:p>
        </w:tc>
      </w:tr>
    </w:tbl>
    <w:tbl>
      <w:tblPr>
        <w:tblW w:type="auto" w:w="0"/>
        <w:jc w:val="center"/>
        <w:tblLayout w:type="autofit"/>
        <w:tblLook w:firstColumn="1" w:firstRow="1" w:lastColumn="0" w:lastRow="0" w:noHBand="0" w:noVBand="1" w:val="04A0"/>
      </w:tblPr>
      <w:tblGrid>
        <w:gridCol w:w="159"/>
        <w:gridCol w:w="10205"/>
      </w:tblGrid>
      <w:tr>
        <w:tc>
          <w:tcPr>
            <w:tcW w:type="dxa" w:w="5244"/>
            <w:shd w:fill="E98A3A"/>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FFF4E8"/>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Transparence</w:t>
            </w:r>
          </w:p>
          <w:p>
            <w:pPr>
              <w:spacing w:before="40" w:after="60" w:line="240" w:lineRule="auto"/>
            </w:pPr>
            <w:r>
              <w:rPr>
                <w:rFonts w:ascii="Arial" w:hAnsi="Arial" w:eastAsia="Arial" w:cs="Arial"/>
                <w:color w:val="13253A"/>
                <w:sz w:val="19"/>
              </w:rPr>
              <w:t>Aucun partenariat n'est présenté comme acquis sans accord écrit. Les lettres de soutien ou d'intention reçues seront jointes séparément au dossier et les logos ne seront utilisés qu'avec autorisation.</w:t>
            </w:r>
          </w:p>
        </w:tc>
      </w:tr>
    </w:tbl>
    <w:p>
      <w:pPr>
        <w:spacing w:before="120" w:after="60" w:line="240" w:lineRule="auto"/>
        <w:pBdr>
          <w:bottom w:val="single" w:sz="8" w:space="3" w:color="12345B"/>
        </w:pBdr>
      </w:pPr>
      <w:r>
        <w:rPr>
          <w:rFonts w:ascii="Arial" w:hAnsi="Arial" w:eastAsia="Arial" w:cs="Arial"/>
          <w:b/>
          <w:color w:val="0B2D4F"/>
          <w:sz w:val="26"/>
        </w:rPr>
        <w:t>Démonstrateur</w:t>
      </w:r>
    </w:p>
    <w:p>
      <w:pPr>
        <w:spacing w:after="60" w:line="240" w:lineRule="auto"/>
      </w:pPr>
      <w:r>
        <w:rPr>
          <w:rFonts w:ascii="Arial" w:hAnsi="Arial" w:eastAsia="Arial" w:cs="Arial"/>
          <w:color w:val="13253A"/>
          <w:sz w:val="20"/>
        </w:rPr>
        <w:t xml:space="preserve">Un premier démonstrateur est accessible à l’adresse : </w:t>
      </w:r>
      <w:hyperlink r:id="rId12">
        <w:r>
          <w:rPr>
            <w:color w:val="2D6B9F"/>
            <w:u w:val="single"/>
            <w:rFonts w:ascii="Liberation Sans" w:hAnsi="Liberation Sans"/>
          </w:rPr>
          <w:t>https://resilience-976.netlify.app/</w:t>
        </w:r>
      </w:hyperlink>
    </w:p>
    <w:p>
      <w:pPr>
        <w:spacing w:after="60" w:line="240" w:lineRule="auto"/>
        <w:jc w:val="both"/>
      </w:pPr>
      <w:r>
        <w:rPr>
          <w:rFonts w:ascii="Arial" w:hAnsi="Arial" w:eastAsia="Arial" w:cs="Arial"/>
          <w:color w:val="13253A"/>
          <w:sz w:val="19"/>
        </w:rPr>
        <w:t>Il illustre l'orientation du projet et sera enrichi jusqu'à l'ouverture publique officielle. Les fonctionnalités présentées dans ce dossier constituent le périmètre cible de l'action JNR 2026.</w:t>
      </w:r>
    </w:p>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9</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Fiabilité, données et gouvernance de l’assistant</w:t>
            </w:r>
          </w:p>
          <w:p>
            <w:pPr>
              <w:spacing w:before="40" w:after="60" w:line="240" w:lineRule="auto"/>
            </w:pPr>
            <w:r>
              <w:rPr>
                <w:rFonts w:ascii="Arial" w:hAnsi="Arial" w:eastAsia="Arial" w:cs="Arial"/>
                <w:color w:val="DCE9F1"/>
                <w:sz w:val="19"/>
              </w:rPr>
              <w:t>La confiance comme condition de l’utilité pédagogique</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Gouvernance des contenus</w:t>
      </w:r>
    </w:p>
    <w:p>
      <w:pPr>
        <w:spacing w:after="60" w:line="240" w:lineRule="auto"/>
        <w:ind w:left="198" w:hanging="142"/>
      </w:pPr>
      <w:r>
        <w:rPr>
          <w:rFonts w:ascii="Arial" w:hAnsi="Arial" w:eastAsia="Arial" w:cs="Arial"/>
          <w:b/>
          <w:color w:val="008A7A"/>
          <w:sz w:val="20"/>
        </w:rPr>
        <w:t>• Chaque consigne publiée comportera une source, une date de vérification et, lorsque nécessaire, un responsable de relecture.</w:t>
      </w:r>
      <w:r>
        <w:rPr>
          <w:rFonts w:ascii="Arial" w:hAnsi="Arial" w:eastAsia="Arial" w:cs="Arial"/>
          <w:color w:val="13253A"/>
          <w:sz w:val="20"/>
        </w:rPr>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Les contenus sont administrables et versionnés afin de pouvoir corriger rapidement une information devenue obsolète.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Les sources prioritaires sont les services de l'État, Géorisques, Météo-France, les organismes de sécurité civile et les acteurs experts reconnus.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Les supports externes ne sont repris que si leurs droits d'usage permettent leur diffusion ou s'ils sont simplement référencés par un lien.</w:t>
      </w:r>
    </w:p>
    <w:p>
      <w:pPr>
        <w:spacing w:after="60" w:line="240" w:lineRule="auto"/>
        <w:ind w:left="198" w:hanging="142"/>
      </w:pPr>
      <w:r>
        <w:rPr>
          <w:rFonts w:ascii="Arial" w:hAnsi="Arial" w:eastAsia="Arial" w:cs="Arial"/>
          <w:b/>
          <w:color w:val="008A7A"/>
          <w:sz w:val="20"/>
        </w:rPr>
        <w:t>• Dans le démonstrateur, une information non finalisée est signalée « En cours de validation éditoriale » ; elle ne sera pas publiée comme consigne opérationnelle lors de l'ouverture publique.</w:t>
      </w:r>
      <w:r>
        <w:rPr>
          <w:rFonts w:ascii="Arial" w:hAnsi="Arial" w:eastAsia="Arial" w:cs="Arial"/>
          <w:color w:val="13253A"/>
          <w:sz w:val="20"/>
        </w:rPr>
      </w:r>
    </w:p>
    <w:p>
      <w:pPr>
        <w:spacing w:before="120" w:after="60" w:line="240" w:lineRule="auto"/>
        <w:pBdr>
          <w:bottom w:val="single" w:sz="8" w:space="3" w:color="12345B"/>
        </w:pBdr>
      </w:pPr>
      <w:r>
        <w:rPr>
          <w:rFonts w:ascii="Arial" w:hAnsi="Arial" w:eastAsia="Arial" w:cs="Arial"/>
          <w:b/>
          <w:color w:val="0B2D4F"/>
          <w:sz w:val="26"/>
        </w:rPr>
        <w:t>Assistant documentaire assisté par IA : fonctionnement prévu et encadré</w:t>
      </w:r>
    </w:p>
    <w:tbl>
      <w:tblPr>
        <w:tblW w:type="auto" w:w="0"/>
        <w:jc w:val="center"/>
        <w:tblLayout w:type="autofit"/>
        <w:tblLook w:firstColumn="1" w:firstRow="1" w:lastColumn="0" w:lastRow="0" w:noHBand="0" w:noVBand="1" w:val="04A0"/>
      </w:tblPr>
      <w:tblGrid>
        <w:gridCol w:w="5244"/>
        <w:gridCol w:w="5244"/>
      </w:tblGrid>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BASE VALIDÉE</w:t>
            </w:r>
          </w:p>
          <w:p>
            <w:pPr>
              <w:spacing w:before="40" w:after="60" w:line="240" w:lineRule="auto"/>
            </w:pPr>
            <w:r>
              <w:rPr>
                <w:rFonts w:ascii="Arial" w:hAnsi="Arial" w:eastAsia="Arial" w:cs="Arial"/>
                <w:color w:val="13253A"/>
                <w:sz w:val="18"/>
              </w:rPr>
              <w:t>La réponse est construite à partir de documents préalablement sélectionnés et validés, non à partir d’une recherche ouverte non contrôlée.</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SOURCES VISIBLES</w:t>
            </w:r>
          </w:p>
          <w:p>
            <w:pPr>
              <w:spacing w:before="40" w:after="60" w:line="240" w:lineRule="auto"/>
            </w:pPr>
            <w:r>
              <w:rPr>
                <w:rFonts w:ascii="Arial" w:hAnsi="Arial" w:eastAsia="Arial" w:cs="Arial"/>
                <w:color w:val="13253A"/>
                <w:sz w:val="18"/>
              </w:rPr>
              <w:t>Chaque réponse importante affiche sa source et un lien vers la ressource officielle lorsqu’elle est disponible.</w:t>
            </w:r>
          </w:p>
        </w:tc>
      </w:tr>
      <w:tr>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LIMITES EXPLICITES</w:t>
            </w:r>
          </w:p>
          <w:p>
            <w:pPr>
              <w:spacing w:before="40" w:after="60" w:line="240" w:lineRule="auto"/>
            </w:pPr>
            <w:r>
              <w:rPr>
                <w:rFonts w:ascii="Arial" w:hAnsi="Arial" w:eastAsia="Arial" w:cs="Arial"/>
                <w:color w:val="13253A"/>
                <w:sz w:val="18"/>
              </w:rPr>
              <w:t>L’assistant indique quand il ne dispose pas d’une réponse fiable et refuse les demandes de prévision ou d’urgence.</w:t>
            </w:r>
          </w:p>
        </w:tc>
        <w:tc>
          <w:tcPr>
            <w:tcW w:type="dxa" w:w="5102"/>
            <w:tcMar>
              <w:top w:w="70" w:type="dxa"/>
              <w:start w:w="140" w:type="dxa"/>
              <w:bottom w:w="70" w:type="dxa"/>
              <w:end w:w="140" w:type="dxa"/>
              <w:left w:w="100" w:type="dxa"/>
              <w:right w:w="100" w:type="dxa"/>
            </w:tcMar>
            <w:tcBorders>
              <w:top w:val="single" w:sz="8" w:color="D8E3EA"/>
              <w:left w:val="single" w:sz="8" w:color="D8E3EA"/>
              <w:bottom w:val="single" w:sz="8" w:color="D8E3EA"/>
              <w:right w:val="single" w:sz="8" w:color="D8E3EA"/>
            </w:tcBorders>
            <w:shd w:fill="F7FAFC"/>
            <w:vAlign w:val="center"/>
          </w:tcPr>
          <w:p>
            <w:pPr>
              <w:spacing w:line="240" w:lineRule="auto" w:after="60"/>
            </w:pPr>
            <w:r>
              <w:rPr>
                <w:rFonts w:ascii="Arial" w:hAnsi="Arial" w:eastAsia="Arial" w:cs="Arial"/>
                <w:b/>
                <w:color w:val="0B2D4F"/>
                <w:sz w:val="22"/>
              </w:rPr>
              <w:t>REDIRECTION</w:t>
            </w:r>
          </w:p>
          <w:p>
            <w:pPr>
              <w:spacing w:before="40" w:after="60" w:line="240" w:lineRule="auto"/>
            </w:pPr>
            <w:r>
              <w:rPr>
                <w:rFonts w:ascii="Arial" w:hAnsi="Arial" w:eastAsia="Arial" w:cs="Arial"/>
                <w:color w:val="13253A"/>
                <w:sz w:val="18"/>
              </w:rPr>
              <w:t>En situation réelle, l’utilisateur est invité à suivre les alertes, les médias officiels et les consignes des autorités et secours.</w:t>
            </w:r>
          </w:p>
        </w:tc>
      </w:tr>
    </w:tbl>
    <w:p>
      <w:pPr>
        <w:spacing w:before="120" w:after="60" w:line="240" w:lineRule="auto"/>
        <w:pBdr>
          <w:bottom w:val="single" w:sz="8" w:space="3" w:color="12345B"/>
        </w:pBdr>
      </w:pPr>
      <w:r>
        <w:rPr>
          <w:rFonts w:ascii="Arial" w:hAnsi="Arial" w:eastAsia="Arial" w:cs="Arial"/>
          <w:b/>
          <w:color w:val="0B2D4F"/>
          <w:sz w:val="26"/>
        </w:rPr>
        <w:t>Protection des données et mesure</w:t>
      </w:r>
    </w:p>
    <w:p>
      <w:pPr>
        <w:spacing w:after="60" w:line="240" w:lineRule="auto"/>
        <w:jc w:val="both"/>
      </w:pPr>
      <w:r>
        <w:rPr>
          <w:rFonts w:ascii="Arial" w:hAnsi="Arial" w:eastAsia="Arial" w:cs="Arial"/>
          <w:color w:val="13253A"/>
          <w:sz w:val="20"/>
        </w:rPr>
        <w:t>La plateforme est utilisable sans compte. Elle ne demande ni adresse précise, ni donnée de santé détaillée, ni géolocalisation fine. Les réponses au diagnostic servent à générer un résultat dans la session de l'utilisateur. Les statistiques d'impact sont agrégées et limitées à ce qui est nécessaire pour évaluer l'action.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Visiteurs uniques ou sessions anonymes, sans conservation d'adresse IP en clair.</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Nombre de parcours commencés et terminés, sans profilage commercial.</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Classements éventuels sous pseudonyme et uniquement avec consentement.</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Absence de publicité, de revente de données ou d'utilisation à des fins de prospection.</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Mentions légales, politique de confidentialité et procédure de suppression clairement accessibles.</w:t>
      </w:r>
    </w:p>
    <w:tbl>
      <w:tblPr>
        <w:tblW w:type="auto" w:w="0"/>
        <w:jc w:val="center"/>
        <w:tblLayout w:type="autofit"/>
        <w:tblLook w:firstColumn="1" w:firstRow="1" w:lastColumn="0" w:lastRow="0" w:noHBand="0" w:noVBand="1" w:val="04A0"/>
      </w:tblPr>
      <w:tblGrid>
        <w:gridCol w:w="159"/>
        <w:gridCol w:w="10205"/>
      </w:tblGrid>
      <w:tr>
        <w:tc>
          <w:tcPr>
            <w:tcW w:type="dxa" w:w="5244"/>
            <w:shd w:fill="C55A3A"/>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FDEDEA"/>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Mise en garde publique</w:t>
            </w:r>
          </w:p>
          <w:p>
            <w:pPr>
              <w:spacing w:before="40" w:after="60" w:line="240" w:lineRule="auto"/>
            </w:pPr>
            <w:r>
              <w:rPr>
                <w:rFonts w:ascii="Arial" w:hAnsi="Arial" w:eastAsia="Arial" w:cs="Arial"/>
                <w:color w:val="13253A"/>
                <w:sz w:val="19"/>
              </w:rPr>
              <w:t>La plateforme devra afficher de manière permanente qu'elle est un outil de sensibilisation. Elle ne remplace pas les alertes officielles, les plans de sauvegarde, l'avis d'un professionnel ni l'intervention des secours.</w:t>
            </w:r>
          </w:p>
        </w:tc>
      </w:tr>
    </w:tbl>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10</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Déploiement, calendrier et mesure de l’impact</w:t>
            </w:r>
          </w:p>
          <w:p>
            <w:pPr>
              <w:spacing w:before="40" w:after="60" w:line="240" w:lineRule="auto"/>
            </w:pPr>
            <w:r>
              <w:rPr>
                <w:rFonts w:ascii="Arial" w:hAnsi="Arial" w:eastAsia="Arial" w:cs="Arial"/>
                <w:color w:val="DCE9F1"/>
                <w:sz w:val="19"/>
              </w:rPr>
              <w:t>Une action ouverte avant le 13 octobre et suivie jusqu’au 31 décembre 2026</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Calendrier prévisionnel</w:t>
      </w:r>
    </w:p>
    <w:p>
      <w:pPr>
        <w:spacing w:line="240" w:lineRule="auto" w:after="60"/>
        <w:jc w:val="center"/>
      </w:pPr>
      <w:r>
        <w:rPr>
          <w:rFonts w:ascii="Arial" w:hAnsi="Arial" w:eastAsia="Arial" w:cs="Arial"/>
        </w:rPr>
        <w:drawing>
          <wp:inline xmlns:a="http://schemas.openxmlformats.org/drawingml/2006/main" xmlns:pic="http://schemas.openxmlformats.org/drawingml/2006/picture">
            <wp:extent cx="6480000" cy="1296000"/>
            <wp:docPr id="4" name="Picture 4" descr="Image: image3.png"/>
            <wp:cNvGraphicFramePr>
              <a:graphicFrameLocks noChangeAspect="1"/>
            </wp:cNvGraphicFramePr>
            <a:graphic>
              <a:graphicData uri="http://schemas.openxmlformats.org/drawingml/2006/picture">
                <pic:pic>
                  <pic:nvPicPr>
                    <pic:cNvPr id="0" name="calendrier.png"/>
                    <pic:cNvPicPr/>
                  </pic:nvPicPr>
                  <pic:blipFill>
                    <a:blip r:embed="rId14"/>
                    <a:stretch>
                      <a:fillRect/>
                    </a:stretch>
                  </pic:blipFill>
                  <pic:spPr>
                    <a:xfrm>
                      <a:off x="0" y="0"/>
                      <a:ext cx="6480000" cy="1296000"/>
                    </a:xfrm>
                    <a:prstGeom prst="rect"/>
                  </pic:spPr>
                </pic:pic>
              </a:graphicData>
            </a:graphic>
          </wp:inline>
        </w:drawing>
      </w:r>
    </w:p>
    <w:p>
      <w:pPr>
        <w:spacing w:before="120" w:after="60" w:line="240" w:lineRule="auto"/>
        <w:pBdr>
          <w:bottom w:val="single" w:sz="8" w:space="3" w:color="12345B"/>
        </w:pBdr>
      </w:pPr>
      <w:r>
        <w:rPr>
          <w:rFonts w:ascii="Arial" w:hAnsi="Arial" w:eastAsia="Arial" w:cs="Arial"/>
          <w:b/>
          <w:color w:val="0B2D4F"/>
          <w:sz w:val="26"/>
        </w:rPr>
        <w:t>Objectif de 5 000 personnes touchées</w:t>
      </w:r>
    </w:p>
    <w:p>
      <w:pPr>
        <w:spacing w:line="240" w:lineRule="auto" w:after="60"/>
        <w:jc w:val="center"/>
      </w:pPr>
      <w:r>
        <w:rPr>
          <w:rFonts w:ascii="Arial" w:hAnsi="Arial" w:eastAsia="Arial" w:cs="Arial"/>
        </w:rPr>
        <w:drawing>
          <wp:inline xmlns:a="http://schemas.openxmlformats.org/drawingml/2006/main" xmlns:pic="http://schemas.openxmlformats.org/drawingml/2006/picture">
            <wp:extent cx="6083999" cy="1977300"/>
            <wp:docPr id="5" name="Picture 5" descr="Image: image4.png"/>
            <wp:cNvGraphicFramePr>
              <a:graphicFrameLocks noChangeAspect="1"/>
            </wp:cNvGraphicFramePr>
            <a:graphic>
              <a:graphicData uri="http://schemas.openxmlformats.org/drawingml/2006/picture">
                <pic:pic>
                  <pic:nvPicPr>
                    <pic:cNvPr id="0" name="objectif_5000.png"/>
                    <pic:cNvPicPr/>
                  </pic:nvPicPr>
                  <pic:blipFill>
                    <a:blip r:embed="rId15"/>
                    <a:stretch>
                      <a:fillRect/>
                    </a:stretch>
                  </pic:blipFill>
                  <pic:spPr>
                    <a:xfrm>
                      <a:off x="0" y="0"/>
                      <a:ext cx="6083999" cy="1977300"/>
                    </a:xfrm>
                    <a:prstGeom prst="rect"/>
                  </pic:spPr>
                </pic:pic>
              </a:graphicData>
            </a:graphic>
          </wp:inline>
        </w:drawing>
      </w:r>
    </w:p>
    <w:p>
      <w:pPr>
        <w:spacing w:before="80" w:after="60" w:line="240" w:lineRule="auto"/>
      </w:pPr>
      <w:r>
        <w:rPr>
          <w:rFonts w:ascii="Arial" w:hAnsi="Arial" w:eastAsia="Arial" w:cs="Arial"/>
          <w:b/>
          <w:color w:val="5F6B76"/>
          <w:sz w:val="15"/>
        </w:rPr>
        <w:t>Source : calcul à partir des premiers résultats du recensement exhaustif de l'Insee : population municipale de Mayotte de 323 153 habitants au 1er janvier 2026. Période de référence : septembre à décembre 2026.</w:t>
      </w:r>
      <w:r>
        <w:rPr>
          <w:rFonts w:ascii="Arial" w:hAnsi="Arial" w:eastAsia="Arial" w:cs="Arial"/>
          <w:i/>
          <w:color w:val="5F6B76"/>
          <w:sz w:val="15"/>
        </w:rPr>
      </w:r>
    </w:p>
    <w:p>
      <w:pPr>
        <w:spacing w:before="120" w:after="60" w:line="240" w:lineRule="auto"/>
        <w:pBdr>
          <w:bottom w:val="single" w:sz="8" w:space="3" w:color="12345B"/>
        </w:pBdr>
      </w:pPr>
      <w:r>
        <w:rPr>
          <w:rFonts w:ascii="Arial" w:hAnsi="Arial" w:eastAsia="Arial" w:cs="Arial"/>
          <w:b/>
          <w:color w:val="0B2D4F"/>
          <w:sz w:val="26"/>
        </w:rPr>
        <w:t>Méthode de comptabilisation</w:t>
      </w:r>
    </w:p>
    <w:tbl>
      <w:tblPr>
        <w:tblW w:type="auto" w:w="0"/>
        <w:jc w:val="center"/>
        <w:tblLayout w:type="autofit"/>
        <w:tblLook w:firstColumn="1" w:firstRow="1" w:lastColumn="0" w:lastRow="0" w:noHBand="0" w:noVBand="1" w:val="04A0"/>
      </w:tblPr>
      <w:tblGrid>
        <w:gridCol w:w="159"/>
        <w:gridCol w:w="10205"/>
      </w:tblGrid>
      <w:tr>
        <w:tc>
          <w:tcPr>
            <w:tcW w:type="dxa" w:w="5244"/>
            <w:shd w:fill="2D6B9F"/>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p>
        </w:tc>
        <w:tc>
          <w:tcPr>
            <w:tcW w:type="dxa" w:w="5244"/>
            <w:shd w:fill="EEF6FB"/>
            <w:tcMar>
              <w:top w:w="70" w:type="dxa"/>
              <w:start w:w="130" w:type="dxa"/>
              <w:bottom w:w="70" w:type="dxa"/>
              <w:end w:w="13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0B2D4F"/>
                <w:sz w:val="22"/>
              </w:rPr>
              <w:t>Définition proposée</w:t>
            </w:r>
          </w:p>
          <w:p>
            <w:pPr>
              <w:spacing w:before="40" w:after="60" w:line="240" w:lineRule="auto"/>
            </w:pPr>
            <w:r>
              <w:rPr>
                <w:rFonts w:ascii="Arial" w:hAnsi="Arial" w:eastAsia="Arial" w:cs="Arial"/>
                <w:color w:val="13253A"/>
                <w:sz w:val="19"/>
              </w:rPr>
              <w:t>Une personne touchée correspond à un visiteur unique ayant commencé au moins un parcours de sensibilisation disponible : diagnostic, quiz, micro-formation ou mise en situation. Une simple page vue ne sera pas comptée comme une participation.</w:t>
            </w:r>
          </w:p>
        </w:tc>
      </w:tr>
    </w:tbl>
    <w:p>
      <w:pPr>
        <w:spacing w:before="120" w:after="60" w:line="240" w:lineRule="auto"/>
        <w:pBdr>
          <w:bottom w:val="single" w:sz="8" w:space="3" w:color="12345B"/>
        </w:pBdr>
      </w:pPr>
      <w:r>
        <w:rPr>
          <w:rFonts w:ascii="Arial" w:hAnsi="Arial" w:eastAsia="Arial" w:cs="Arial"/>
          <w:b/>
          <w:color w:val="0B2D4F"/>
          <w:sz w:val="26"/>
        </w:rPr>
        <w:t>Indicateurs de résultat</w:t>
      </w:r>
    </w:p>
    <w:tbl>
      <w:tblPr>
        <w:tblW w:type="auto" w:w="0"/>
        <w:jc w:val="center"/>
        <w:tblLayout w:type="autofit"/>
        <w:tblLook w:firstColumn="1" w:firstRow="1" w:lastColumn="0" w:lastRow="0" w:noHBand="0" w:noVBand="1" w:val="04A0"/>
      </w:tblPr>
      <w:tblGrid>
        <w:gridCol w:w="5102"/>
        <w:gridCol w:w="5102"/>
      </w:tblGrid>
      <w:tr>
        <w:tc>
          <w:tcPr>
            <w:tcW w:type="dxa" w:w="5244"/>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0B2D4F"/>
                <w:sz w:val="17"/>
              </w:rPr>
              <w:t>AUDIENCE ENGAGÉE</w:t>
            </w:r>
          </w:p>
          <w:p>
            <w:pPr>
              <w:spacing w:before="20" w:after="60" w:line="240" w:lineRule="auto"/>
            </w:pPr>
            <w:r>
              <w:rPr>
                <w:rFonts w:ascii="Arial" w:hAnsi="Arial" w:eastAsia="Arial" w:cs="Arial"/>
                <w:color w:val="13253A"/>
                <w:sz w:val="16"/>
              </w:rPr>
              <w:t>Visiteurs ayant commencé un parcours ; provenance par campagne ou QR code.</w:t>
            </w:r>
          </w:p>
        </w:tc>
        <w:tc>
          <w:tcPr>
            <w:tcW w:type="dxa" w:w="5244"/>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0B2D4F"/>
                <w:sz w:val="17"/>
              </w:rPr>
              <w:t>UTILISATION</w:t>
            </w:r>
          </w:p>
          <w:p>
            <w:pPr>
              <w:spacing w:before="20" w:after="60" w:line="240" w:lineRule="auto"/>
            </w:pPr>
            <w:r>
              <w:rPr>
                <w:rFonts w:ascii="Arial" w:hAnsi="Arial" w:eastAsia="Arial" w:cs="Arial"/>
                <w:color w:val="13253A"/>
                <w:sz w:val="16"/>
              </w:rPr>
              <w:t>Diagnostics et quiz commencés/terminés, taux de complétion et durée moyenne.</w:t>
            </w:r>
          </w:p>
        </w:tc>
      </w:tr>
      <w:tr>
        <w:tc>
          <w:tcPr>
            <w:tcW w:type="dxa" w:w="5244"/>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0B2D4F"/>
                <w:sz w:val="17"/>
              </w:rPr>
              <w:t>APPRENTISSAGE</w:t>
            </w:r>
          </w:p>
          <w:p>
            <w:pPr>
              <w:spacing w:before="20" w:after="60" w:line="240" w:lineRule="auto"/>
            </w:pPr>
            <w:r>
              <w:rPr>
                <w:rFonts w:ascii="Arial" w:hAnsi="Arial" w:eastAsia="Arial" w:cs="Arial"/>
                <w:color w:val="13253A"/>
                <w:sz w:val="16"/>
              </w:rPr>
              <w:t>Score moyen et questions les plus souvent manquées.</w:t>
            </w:r>
          </w:p>
        </w:tc>
        <w:tc>
          <w:tcPr>
            <w:tcW w:type="dxa" w:w="5244"/>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0B2D4F"/>
                <w:sz w:val="17"/>
              </w:rPr>
              <w:t>PASSAGE À L’ACTION</w:t>
            </w:r>
          </w:p>
          <w:p>
            <w:pPr>
              <w:spacing w:before="20" w:after="60" w:line="240" w:lineRule="auto"/>
            </w:pPr>
            <w:r>
              <w:rPr>
                <w:rFonts w:ascii="Arial" w:hAnsi="Arial" w:eastAsia="Arial" w:cs="Arial"/>
                <w:color w:val="13253A"/>
                <w:sz w:val="16"/>
              </w:rPr>
              <w:t>Plans, checklists, kits et attestations générés ou téléchargés.</w:t>
            </w:r>
          </w:p>
        </w:tc>
      </w:tr>
      <w:tr>
        <w:tc>
          <w:tcPr>
            <w:tcW w:type="dxa" w:w="5244"/>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0B2D4F"/>
                <w:sz w:val="17"/>
              </w:rPr>
              <w:t>DIFFUSION</w:t>
            </w:r>
          </w:p>
          <w:p>
            <w:pPr>
              <w:spacing w:before="20" w:after="60" w:line="240" w:lineRule="auto"/>
            </w:pPr>
            <w:r>
              <w:rPr>
                <w:rFonts w:ascii="Arial" w:hAnsi="Arial" w:eastAsia="Arial" w:cs="Arial"/>
                <w:color w:val="13253A"/>
                <w:sz w:val="16"/>
              </w:rPr>
              <w:t>Campagnes actives, relais mobilisés et supports de communication.</w:t>
            </w:r>
          </w:p>
        </w:tc>
        <w:tc>
          <w:tcPr>
            <w:tcW w:type="dxa" w:w="5244"/>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0B2D4F"/>
                <w:sz w:val="17"/>
              </w:rPr>
              <w:t>QUALITÉ</w:t>
            </w:r>
          </w:p>
          <w:p>
            <w:pPr>
              <w:spacing w:before="20" w:after="60" w:line="240" w:lineRule="auto"/>
            </w:pPr>
            <w:r>
              <w:rPr>
                <w:rFonts w:ascii="Arial" w:hAnsi="Arial" w:eastAsia="Arial" w:cs="Arial"/>
                <w:color w:val="13253A"/>
                <w:sz w:val="16"/>
              </w:rPr>
              <w:t>Retours, problèmes signalés, correctifs et disponibilité du service.</w:t>
            </w:r>
          </w:p>
        </w:tc>
      </w:tr>
    </w:tbl>
    <w:p>
      <w:pPr>
        <w:spacing w:line="240" w:lineRule="auto" w:after="60"/>
      </w:pPr>
      <w:r>
        <w:rPr>
          <w:rFonts w:ascii="Arial" w:hAnsi="Arial" w:eastAsia="Arial" w:cs="Arial"/>
        </w:rPr>
        <w:br w:type="page"/>
      </w:r>
    </w:p>
    <w:tbl>
      <w:tblPr>
        <w:tblW w:type="auto" w:w="0"/>
        <w:jc w:val="center"/>
        <w:tblLayout w:type="autofit"/>
        <w:tblLook w:firstColumn="1" w:firstRow="1" w:lastColumn="0" w:lastRow="0" w:noHBand="0" w:noVBand="1" w:val="04A0"/>
      </w:tblPr>
      <w:tblGrid>
        <w:gridCol w:w="964"/>
        <w:gridCol w:w="9524"/>
      </w:tblGrid>
      <w:tr>
        <w:tc>
          <w:tcPr>
            <w:tcW w:type="dxa" w:w="5244"/>
            <w:shd w:fill="12345B"/>
            <w:tcMar>
              <w:top w:w="70" w:type="dxa"/>
              <w:start w:w="100" w:type="dxa"/>
              <w:bottom w:w="70" w:type="dxa"/>
              <w:end w:w="100" w:type="dxa"/>
              <w:left w:w="100" w:type="dxa"/>
              <w:right w:w="100" w:type="dxa"/>
            </w:tcMar>
            <w:vAlign w:val="center"/>
          </w:tcPr>
          <w:p>
            <w:pPr>
              <w:spacing w:line="240" w:lineRule="auto" w:after="60"/>
              <w:jc w:val="center"/>
            </w:pPr>
            <w:r>
              <w:rPr>
                <w:rFonts w:ascii="Arial" w:hAnsi="Arial" w:eastAsia="Arial" w:cs="Arial"/>
                <w:b/>
                <w:color w:val="FFFFFF"/>
                <w:sz w:val="50"/>
              </w:rPr>
              <w:t>11</w:t>
            </w:r>
          </w:p>
        </w:tc>
        <w:tc>
          <w:tcPr>
            <w:tcW w:type="dxa" w:w="5244"/>
            <w:shd w:fill="12345B"/>
            <w:tcMar>
              <w:top w:w="70" w:type="dxa"/>
              <w:start w:w="180" w:type="dxa"/>
              <w:bottom w:w="70" w:type="dxa"/>
              <w:end w:w="140" w:type="dxa"/>
              <w:left w:w="100" w:type="dxa"/>
              <w:right w:w="100" w:type="dxa"/>
            </w:tcMar>
            <w:vAlign w:val="center"/>
          </w:tcPr>
          <w:p>
            <w:pPr>
              <w:spacing w:line="240" w:lineRule="auto" w:after="60"/>
            </w:pPr>
            <w:r>
              <w:rPr>
                <w:rFonts w:ascii="Arial" w:hAnsi="Arial" w:eastAsia="Arial" w:cs="Arial"/>
                <w:b/>
                <w:color w:val="FFFFFF"/>
                <w:sz w:val="40"/>
              </w:rPr>
              <w:t>Pérennité, maîtrise des risques et références</w:t>
            </w:r>
          </w:p>
          <w:p>
            <w:pPr>
              <w:spacing w:before="40" w:after="60" w:line="240" w:lineRule="auto"/>
            </w:pPr>
            <w:r>
              <w:rPr>
                <w:rFonts w:ascii="Arial" w:hAnsi="Arial" w:eastAsia="Arial" w:cs="Arial"/>
                <w:color w:val="DCE9F1"/>
                <w:sz w:val="19"/>
              </w:rPr>
              <w:t>Une ressource maintenable et réutilisable au-delà de la campagne 2026</w:t>
            </w:r>
          </w:p>
        </w:tc>
      </w:tr>
    </w:tbl>
    <w:p>
      <w:pPr>
        <w:spacing w:after="60" w:line="240" w:lineRule="auto"/>
      </w:pPr>
    </w:p>
    <w:p>
      <w:pPr>
        <w:spacing w:before="120" w:after="60" w:line="240" w:lineRule="auto"/>
        <w:pBdr>
          <w:bottom w:val="single" w:sz="8" w:space="3" w:color="12345B"/>
        </w:pBdr>
      </w:pPr>
      <w:r>
        <w:rPr>
          <w:rFonts w:ascii="Arial" w:hAnsi="Arial" w:eastAsia="Arial" w:cs="Arial"/>
          <w:b/>
          <w:color w:val="0B2D4F"/>
          <w:sz w:val="26"/>
        </w:rPr>
        <w:t>Pérennité du projet</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Maintien gratuit de la plateforme après la période officielle JNR 2026.</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Mise à jour des contenus sans reconstruction complète du site.</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Réutilisation par les établissements scolaires, communes, associations, entreprises et services publics.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Possibilité d'ajouter progressivement des contenus en langues locales et de nouveaux scénarios validés.</w:t>
      </w:r>
    </w:p>
    <w:p>
      <w:pPr>
        <w:spacing w:after="60" w:line="240" w:lineRule="auto"/>
        <w:ind w:left="198" w:hanging="142"/>
      </w:pPr>
      <w:r>
        <w:rPr>
          <w:rFonts w:ascii="Arial" w:hAnsi="Arial" w:eastAsia="Arial" w:cs="Arial"/>
          <w:b/>
          <w:color w:val="008A7A"/>
          <w:sz w:val="20"/>
        </w:rPr>
        <w:t xml:space="preserve">• </w:t>
      </w:r>
      <w:r>
        <w:rPr>
          <w:rFonts w:ascii="Arial" w:hAnsi="Arial" w:eastAsia="Arial" w:cs="Arial"/>
          <w:color w:val="13253A"/>
          <w:sz w:val="20"/>
        </w:rPr>
        <w:t>Production d'un bilan d'impact agrégé pour documenter la participation et améliorer les parcours.</w:t>
      </w:r>
    </w:p>
    <w:p>
      <w:pPr>
        <w:spacing w:before="120" w:after="60" w:line="240" w:lineRule="auto"/>
        <w:pBdr>
          <w:bottom w:val="single" w:sz="8" w:space="3" w:color="12345B"/>
        </w:pBdr>
      </w:pPr>
      <w:r>
        <w:rPr>
          <w:rFonts w:ascii="Arial" w:hAnsi="Arial" w:eastAsia="Arial" w:cs="Arial"/>
          <w:b/>
          <w:color w:val="0B2D4F"/>
          <w:sz w:val="26"/>
        </w:rPr>
        <w:t>Principaux risques du projet et mesures de maîtrise</w:t>
      </w:r>
    </w:p>
    <w:tbl>
      <w:tblPr>
        <w:tblW w:type="auto" w:w="0"/>
        <w:jc w:val="center"/>
        <w:tblLayout w:type="autofit"/>
        <w:tblLook w:firstColumn="1" w:firstRow="1" w:lastColumn="0" w:lastRow="0" w:noHBand="0" w:noVBand="1" w:val="04A0"/>
      </w:tblPr>
      <w:tblGrid>
        <w:gridCol w:w="3118"/>
        <w:gridCol w:w="7200"/>
      </w:tblGrid>
      <w:tr>
        <w:tc>
          <w:tcPr>
            <w:tcW w:type="dxa" w:w="5244"/>
            <w:shd w:fill="12345B"/>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b/>
                <w:color w:val="FFFFFF"/>
                <w:sz w:val="18"/>
              </w:rPr>
              <w:t>Risque</w:t>
            </w:r>
          </w:p>
        </w:tc>
        <w:tc>
          <w:tcPr>
            <w:tcW w:type="dxa" w:w="5244"/>
            <w:shd w:fill="12345B"/>
            <w:tcMar>
              <w:top w:w="70" w:type="dxa"/>
              <w:start w:w="90" w:type="dxa"/>
              <w:bottom w:w="70" w:type="dxa"/>
              <w:end w:w="90" w:type="dxa"/>
              <w:left w:w="100" w:type="dxa"/>
              <w:right w:w="100" w:type="dxa"/>
            </w:tcMar>
            <w:vAlign w:val="center"/>
          </w:tcPr>
          <w:p>
            <w:pPr>
              <w:spacing w:line="240" w:lineRule="auto" w:after="60"/>
            </w:pPr>
            <w:r>
              <w:rPr>
                <w:rFonts w:ascii="Arial" w:hAnsi="Arial" w:eastAsia="Arial" w:cs="Arial"/>
                <w:b/>
                <w:color w:val="FFFFFF"/>
                <w:sz w:val="18"/>
              </w:rPr>
              <w:t>Mesure de maîtrise</w:t>
            </w:r>
          </w:p>
        </w:tc>
      </w:tr>
      <w:tr>
        <w:tc>
          <w:tcPr>
            <w:tcW w:type="dxa" w:w="3118"/>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6"/>
              </w:rPr>
              <w:t>Information erronée ou obsolète</w:t>
            </w:r>
          </w:p>
        </w:tc>
        <w:tc>
          <w:tcPr>
            <w:tcW w:type="dxa" w:w="7200"/>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6"/>
              </w:rPr>
              <w:t>Sources prioritaires officielles, validation éditoriale, versionnage et retrait rapide.</w:t>
            </w:r>
          </w:p>
        </w:tc>
      </w:tr>
      <w:tr>
        <w:tc>
          <w:tcPr>
            <w:tcW w:type="dxa" w:w="3118"/>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6"/>
              </w:rPr>
              <w:t>Confusion avec une alerte réelle</w:t>
            </w:r>
          </w:p>
        </w:tc>
        <w:tc>
          <w:tcPr>
            <w:tcW w:type="dxa" w:w="7200"/>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6"/>
              </w:rPr>
              <w:t>Aucune prévision ni alerte temps réel ; avertissement visible et renvoi vers les canaux officiels.</w:t>
            </w:r>
          </w:p>
        </w:tc>
      </w:tr>
      <w:tr>
        <w:tc>
          <w:tcPr>
            <w:tcW w:type="dxa" w:w="3118"/>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6"/>
              </w:rPr>
              <w:t>Sur-promesse fonctionnelle</w:t>
            </w:r>
          </w:p>
        </w:tc>
        <w:tc>
          <w:tcPr>
            <w:tcW w:type="dxa" w:w="7200"/>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6"/>
              </w:rPr>
              <w:t>Distinction claire entre démonstrateur, fonctionnalités prévues au lancement et évolutions futures.</w:t>
            </w:r>
          </w:p>
        </w:tc>
      </w:tr>
      <w:tr>
        <w:tc>
          <w:tcPr>
            <w:tcW w:type="dxa" w:w="3118"/>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6"/>
              </w:rPr>
              <w:t>Faible audience</w:t>
            </w:r>
          </w:p>
        </w:tc>
        <w:tc>
          <w:tcPr>
            <w:tcW w:type="dxa" w:w="7200"/>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6"/>
              </w:rPr>
              <w:t>Mobilisation de relais locaux, QR codes, campagnes scolaires/entreprises et communication autour du 13 octobre.</w:t>
            </w:r>
          </w:p>
        </w:tc>
      </w:tr>
      <w:tr>
        <w:tc>
          <w:tcPr>
            <w:tcW w:type="dxa" w:w="3118"/>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6"/>
              </w:rPr>
              <w:t>Difficultés d’accès numérique</w:t>
            </w:r>
          </w:p>
        </w:tc>
        <w:tc>
          <w:tcPr>
            <w:tcW w:type="dxa" w:w="7200"/>
            <w:shd w:fill="FFFFFF"/>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6"/>
              </w:rPr>
              <w:t>Mobile-first, pages sobres, supports PDF imprimables et vidéos non obligatoires pour suivre le parcours.</w:t>
            </w:r>
          </w:p>
        </w:tc>
      </w:tr>
      <w:tr>
        <w:tc>
          <w:tcPr>
            <w:tcW w:type="dxa" w:w="3118"/>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color w:val="13253A"/>
                <w:sz w:val="16"/>
              </w:rPr>
              <w:t>Collecte excessive de données</w:t>
            </w:r>
          </w:p>
        </w:tc>
        <w:tc>
          <w:tcPr>
            <w:tcW w:type="dxa" w:w="7200"/>
            <w:shd w:fill="F5F8FA"/>
            <w:tcMar>
              <w:top w:w="70" w:type="dxa"/>
              <w:start w:w="90" w:type="dxa"/>
              <w:bottom w:w="70" w:type="dxa"/>
              <w:end w:w="90" w:type="dxa"/>
              <w:left w:w="100" w:type="dxa"/>
              <w:right w:w="100" w:type="dxa"/>
            </w:tcMar>
            <w:tcBorders>
              <w:top w:val="single" w:sz="4" w:color="D8E3EA"/>
              <w:left w:val="single" w:sz="4" w:color="D8E3EA"/>
              <w:bottom w:val="single" w:sz="4" w:color="D8E3EA"/>
              <w:right w:val="single" w:sz="4" w:color="D8E3EA"/>
            </w:tcBorders>
            <w:vAlign w:val="center"/>
          </w:tcPr>
          <w:p>
            <w:pPr>
              <w:spacing w:line="240" w:lineRule="auto" w:after="60"/>
            </w:pPr>
            <w:r>
              <w:rPr>
                <w:rFonts w:ascii="Arial" w:hAnsi="Arial" w:eastAsia="Arial" w:cs="Arial"/>
                <w:b w:val="0"/>
                <w:color w:val="13253A"/>
                <w:sz w:val="16"/>
              </w:rPr>
              <w:t>Sans compte, minimisation, agrégation et absence d’usage publicitaire ou commercial.</w:t>
            </w:r>
          </w:p>
        </w:tc>
      </w:tr>
    </w:tbl>
    <w:p>
      <w:pPr>
        <w:spacing w:before="120" w:after="60" w:line="240" w:lineRule="auto"/>
        <w:pBdr>
          <w:bottom w:val="single" w:sz="8" w:space="3" w:color="12345B"/>
        </w:pBdr>
      </w:pPr>
      <w:r>
        <w:rPr>
          <w:rFonts w:ascii="Arial" w:hAnsi="Arial" w:eastAsia="Arial" w:cs="Arial"/>
          <w:b/>
          <w:color w:val="0B2D4F"/>
          <w:sz w:val="26"/>
        </w:rPr>
        <w:t>Références officielles de cadrage</w:t>
      </w:r>
    </w:p>
    <w:p>
      <w:pPr>
        <w:spacing w:after="60" w:line="240" w:lineRule="auto"/>
        <w:ind w:left="113"/>
      </w:pPr>
      <w:r>
        <w:rPr>
          <w:rFonts w:ascii="Arial" w:hAnsi="Arial" w:eastAsia="Arial" w:cs="Arial"/>
          <w:b/>
          <w:color w:val="13253A"/>
          <w:sz w:val="16"/>
        </w:rPr>
        <w:t>• Journée nationale de la résilience 2026 - règlement de l’appel à projets</w:t>
      </w:r>
      <w:r>
        <w:rPr>
          <w:rFonts w:ascii="Arial" w:hAnsi="Arial" w:eastAsia="Arial" w:cs="Arial"/>
          <w:color w:val="5F6B76"/>
          <w:sz w:val="16"/>
        </w:rPr>
        <w:t xml:space="preserve"> - Document officiel joint au dossier.</w:t>
      </w:r>
    </w:p>
    <w:p>
      <w:pPr>
        <w:spacing w:after="60" w:line="240" w:lineRule="auto"/>
        <w:ind w:left="113"/>
      </w:pPr>
      <w:r>
        <w:rPr>
          <w:rFonts w:ascii="Arial" w:hAnsi="Arial" w:eastAsia="Arial" w:cs="Arial"/>
          <w:b/>
          <w:color w:val="13253A"/>
          <w:sz w:val="16"/>
        </w:rPr>
        <w:t>• Guide pratique « Pour passer à l’action - Entreprise »</w:t>
      </w:r>
      <w:r>
        <w:rPr>
          <w:rFonts w:ascii="Arial" w:hAnsi="Arial" w:eastAsia="Arial" w:cs="Arial"/>
          <w:color w:val="5F6B76"/>
          <w:sz w:val="16"/>
        </w:rPr>
        <w:t xml:space="preserve"> - Mini-guide officiel JNR.</w:t>
      </w:r>
    </w:p>
    <w:p>
      <w:pPr>
        <w:spacing w:after="60" w:line="240" w:lineRule="auto"/>
        <w:ind w:left="113"/>
      </w:pPr>
      <w:r>
        <w:rPr>
          <w:rFonts w:ascii="Arial" w:hAnsi="Arial" w:eastAsia="Arial" w:cs="Arial"/>
          <w:b/>
          <w:color w:val="13253A"/>
          <w:sz w:val="16"/>
        </w:rPr>
        <w:t>• Insee - Population de Mayotte au 1er janvier 2026</w:t>
      </w:r>
      <w:r>
        <w:rPr>
          <w:rFonts w:ascii="Arial" w:hAnsi="Arial" w:eastAsia="Arial" w:cs="Arial"/>
          <w:color w:val="5F6B76"/>
          <w:sz w:val="16"/>
        </w:rPr>
        <w:t xml:space="preserve"> - </w:t>
      </w:r>
      <w:hyperlink r:id="rId16">
        <w:r>
          <w:rPr>
            <w:color w:val="2D6B9F"/>
            <w:u w:val="single"/>
            <w:rFonts w:ascii="Liberation Sans" w:hAnsi="Liberation Sans"/>
          </w:rPr>
          <w:t>https://www.insee.fr/fr/information/9022279</w:t>
        </w:r>
      </w:hyperlink>
    </w:p>
    <w:p>
      <w:pPr>
        <w:spacing w:after="60" w:line="240" w:lineRule="auto"/>
        <w:ind w:left="113"/>
      </w:pPr>
      <w:r>
        <w:rPr>
          <w:rFonts w:ascii="Arial" w:hAnsi="Arial" w:eastAsia="Arial" w:cs="Arial"/>
          <w:b/>
          <w:color w:val="13253A"/>
          <w:sz w:val="16"/>
        </w:rPr>
        <w:t>• Préfecture de Mayotte - Prévention des risques naturels</w:t>
      </w:r>
      <w:r>
        <w:rPr>
          <w:rFonts w:ascii="Arial" w:hAnsi="Arial" w:eastAsia="Arial" w:cs="Arial"/>
          <w:color w:val="5F6B76"/>
          <w:sz w:val="16"/>
        </w:rPr>
        <w:t xml:space="preserve"> - </w:t>
      </w:r>
      <w:hyperlink r:id="rId17">
        <w:r>
          <w:rPr>
            <w:color w:val="2D6B9F"/>
            <w:u w:val="single"/>
            <w:rFonts w:ascii="Liberation Sans" w:hAnsi="Liberation Sans"/>
          </w:rPr>
          <w:t>https://www.mayotte.gouv.fr/Actions-de-l-Etat/Prevention-des-risques-et-securite/Prevention-des-risques2/Risques-naturels</w:t>
        </w:r>
      </w:hyperlink>
    </w:p>
    <w:p>
      <w:pPr>
        <w:spacing w:after="60" w:line="240" w:lineRule="auto"/>
        <w:ind w:left="113"/>
      </w:pPr>
      <w:r>
        <w:rPr>
          <w:rFonts w:ascii="Arial" w:hAnsi="Arial" w:eastAsia="Arial" w:cs="Arial"/>
          <w:b/>
          <w:color w:val="13253A"/>
          <w:sz w:val="16"/>
        </w:rPr>
        <w:t>• Préfecture de Mayotte - ORSEC Cyclones</w:t>
      </w:r>
      <w:r>
        <w:rPr>
          <w:rFonts w:ascii="Arial" w:hAnsi="Arial" w:eastAsia="Arial" w:cs="Arial"/>
          <w:color w:val="5F6B76"/>
          <w:sz w:val="16"/>
        </w:rPr>
        <w:t xml:space="preserve"> - </w:t>
      </w:r>
      <w:hyperlink r:id="rId18">
        <w:r>
          <w:rPr>
            <w:color w:val="2D6B9F"/>
            <w:u w:val="single"/>
            <w:rFonts w:ascii="Liberation Sans" w:hAnsi="Liberation Sans"/>
          </w:rPr>
          <w:t>https://www.mayotte.gouv.fr/Actions-de-l-Etat/Prevention-des-risques-et-securite/Prevention-des-risques2/Risques-naturels/Risques-meteorologiques/Cyclones/ORSEC-Cyclones</w:t>
        </w:r>
      </w:hyperlink>
    </w:p>
    <w:p>
      <w:pPr>
        <w:spacing w:after="60" w:line="240" w:lineRule="auto"/>
        <w:ind w:left="113"/>
      </w:pPr>
      <w:r>
        <w:rPr>
          <w:rFonts w:ascii="Arial" w:hAnsi="Arial" w:eastAsia="Arial" w:cs="Arial"/>
          <w:b/>
          <w:color w:val="13253A"/>
          <w:sz w:val="16"/>
        </w:rPr>
        <w:t>• Géorisques - Campagne pluies et inondations en Outre-mer 2026</w:t>
      </w:r>
      <w:r>
        <w:rPr>
          <w:rFonts w:ascii="Arial" w:hAnsi="Arial" w:eastAsia="Arial" w:cs="Arial"/>
          <w:color w:val="5F6B76"/>
          <w:sz w:val="16"/>
        </w:rPr>
        <w:t xml:space="preserve"> - </w:t>
      </w:r>
      <w:hyperlink r:id="rId19">
        <w:r>
          <w:rPr>
            <w:color w:val="2D6B9F"/>
            <w:u w:val="single"/>
            <w:rFonts w:ascii="Liberation Sans" w:hAnsi="Liberation Sans"/>
          </w:rPr>
          <w:t>https://www.georisques.gouv.fr/campagne-de-prevention-pluies-et-inondations-en-outre-mer-2026</w:t>
        </w:r>
      </w:hyperlink>
    </w:p>
    <w:p>
      <w:pPr>
        <w:spacing w:after="60" w:line="240" w:lineRule="auto"/>
        <w:ind w:left="113"/>
      </w:pPr>
      <w:r>
        <w:rPr>
          <w:rFonts w:ascii="Arial" w:hAnsi="Arial" w:eastAsia="Arial" w:cs="Arial"/>
          <w:b/>
          <w:color w:val="13253A"/>
          <w:sz w:val="16"/>
        </w:rPr>
        <w:t>• Ministère de la Transition écologique - Journée nationale de la résilience</w:t>
      </w:r>
      <w:r>
        <w:rPr>
          <w:rFonts w:ascii="Arial" w:hAnsi="Arial" w:eastAsia="Arial" w:cs="Arial"/>
          <w:color w:val="5F6B76"/>
          <w:sz w:val="16"/>
        </w:rPr>
        <w:t xml:space="preserve"> - </w:t>
      </w:r>
      <w:hyperlink r:id="rId20">
        <w:r>
          <w:rPr>
            <w:color w:val="2D6B9F"/>
            <w:u w:val="single"/>
            <w:rFonts w:ascii="Liberation Sans" w:hAnsi="Liberation Sans"/>
          </w:rPr>
          <w:t>https://www.ecologie.gouv.fr/rendez-vous/journee-nationale-resilience</w:t>
        </w:r>
      </w:hyperlink>
    </w:p>
    <w:tbl>
      <w:tblPr>
        <w:tblW w:type="auto" w:w="0"/>
        <w:jc w:val="center"/>
        <w:tblLayout w:type="autofit"/>
        <w:tblLook w:firstColumn="1" w:firstRow="1" w:lastColumn="0" w:lastRow="0" w:noHBand="0" w:noVBand="1" w:val="04A0"/>
      </w:tblPr>
      <w:tblGrid>
        <w:gridCol w:w="6803"/>
        <w:gridCol w:w="3515"/>
      </w:tblGrid>
      <w:tr>
        <w:tc>
          <w:tcPr>
            <w:tcW w:type="dxa" w:w="5244"/>
            <w:shd w:fill="12345B"/>
            <w:tcMar>
              <w:top w:w="70" w:type="dxa"/>
              <w:start w:w="150" w:type="dxa"/>
              <w:bottom w:w="70" w:type="dxa"/>
              <w:end w:w="150" w:type="dxa"/>
              <w:left w:w="100" w:type="dxa"/>
              <w:right w:w="100" w:type="dxa"/>
            </w:tcMar>
            <w:tcBorders>
              <w:top w:val="nil"/>
              <w:left w:val="nil"/>
              <w:bottom w:val="nil"/>
              <w:right w:val="nil"/>
            </w:tcBorders>
            <w:vAlign w:val="center"/>
          </w:tcPr>
          <w:p>
            <w:pPr>
              <w:spacing w:line="240" w:lineRule="auto" w:after="60"/>
            </w:pPr>
            <w:r>
              <w:rPr>
                <w:rFonts w:ascii="Arial" w:hAnsi="Arial" w:eastAsia="Arial" w:cs="Arial"/>
                <w:b/>
                <w:color w:val="F4C542"/>
                <w:sz w:val="20"/>
              </w:rPr>
              <w:t>CONTACT PROJET</w:t>
            </w:r>
          </w:p>
          <w:p>
            <w:pPr>
              <w:spacing w:line="240" w:lineRule="auto" w:after="60"/>
            </w:pPr>
            <w:r>
              <w:rPr>
                <w:rFonts w:ascii="Arial" w:hAnsi="Arial" w:eastAsia="Arial" w:cs="Arial"/>
                <w:b/>
                <w:color w:val="FFFFFF"/>
                <w:sz w:val="22"/>
              </w:rPr>
              <w:t>Mathieu MULLER - GT SAS</w:t>
            </w:r>
          </w:p>
          <w:p>
            <w:pPr>
              <w:spacing w:line="240" w:lineRule="auto" w:after="60"/>
            </w:pPr>
            <w:r>
              <w:rPr>
                <w:rFonts w:ascii="Arial" w:hAnsi="Arial" w:eastAsia="Arial" w:cs="Arial"/>
                <w:color w:val="DCE9F1"/>
                <w:sz w:val="18"/>
              </w:rPr>
              <w:t>natam.business@gmail.com  |  06 22 98 00 16</w:t>
            </w:r>
          </w:p>
        </w:tc>
        <w:tc>
          <w:tcPr>
            <w:tcW w:type="dxa" w:w="5244"/>
            <w:shd w:fill="2A9D8F"/>
            <w:tcMar>
              <w:top w:w="70" w:type="dxa"/>
              <w:start w:w="150" w:type="dxa"/>
              <w:bottom w:w="70" w:type="dxa"/>
              <w:end w:w="150" w:type="dxa"/>
              <w:left w:w="100" w:type="dxa"/>
              <w:right w:w="100" w:type="dxa"/>
            </w:tcMar>
            <w:tcBorders>
              <w:top w:val="nil"/>
              <w:left w:val="nil"/>
              <w:bottom w:val="nil"/>
              <w:right w:val="nil"/>
            </w:tcBorders>
            <w:vAlign w:val="center"/>
          </w:tcPr>
          <w:p>
            <w:pPr>
              <w:spacing w:line="240" w:lineRule="auto" w:after="60"/>
              <w:jc w:val="center"/>
            </w:pPr>
            <w:r>
              <w:rPr>
                <w:rFonts w:ascii="Arial" w:hAnsi="Arial" w:eastAsia="Arial" w:cs="Arial"/>
              </w:rPr>
              <w:drawing>
                <wp:inline xmlns:a="http://schemas.openxmlformats.org/drawingml/2006/main" xmlns:pic="http://schemas.openxmlformats.org/drawingml/2006/picture">
                  <wp:extent cx="900000" cy="900000"/>
                  <wp:docPr id="6" name="Picture 6" descr="Image: image1.png"/>
                  <wp:cNvGraphicFramePr>
                    <a:graphicFrameLocks noChangeAspect="1"/>
                  </wp:cNvGraphicFramePr>
                  <a:graphic>
                    <a:graphicData uri="http://schemas.openxmlformats.org/drawingml/2006/picture">
                      <pic:pic>
                        <pic:nvPicPr>
                          <pic:cNvPr id="0" name="qr_resilience976.png"/>
                          <pic:cNvPicPr/>
                        </pic:nvPicPr>
                        <pic:blipFill>
                          <a:blip r:embed="rId11"/>
                          <a:stretch>
                            <a:fillRect/>
                          </a:stretch>
                        </pic:blipFill>
                        <pic:spPr>
                          <a:xfrm>
                            <a:off x="0" y="0"/>
                            <a:ext cx="900000" cy="900000"/>
                          </a:xfrm>
                          <a:prstGeom prst="rect"/>
                        </pic:spPr>
                      </pic:pic>
                    </a:graphicData>
                  </a:graphic>
                </wp:inline>
              </w:drawing>
            </w:r>
          </w:p>
          <w:p>
            <w:pPr>
              <w:spacing w:line="240" w:lineRule="auto" w:after="60"/>
              <w:jc w:val="center"/>
            </w:pPr>
            <w:r>
              <w:rPr>
                <w:rFonts w:ascii="Arial" w:hAnsi="Arial" w:eastAsia="Arial" w:cs="Arial"/>
                <w:b/>
                <w:color w:val="FFFFFF"/>
                <w:sz w:val="17"/>
              </w:rPr>
              <w:t>Démonstrateur</w:t>
            </w:r>
          </w:p>
        </w:tc>
      </w:tr>
    </w:tbl>
    <w:sectPr w:rsidR="00FC693F" w:rsidRPr="0006063C" w:rsidSect="00034616">
      <w:headerReference w:type="default" r:id="rId9"/>
      <w:footerReference w:type="default" r:id="rId10"/>
      <w:pgSz w:w="11906" w:h="16838"/>
      <w:pgMar w:top="709" w:right="765" w:bottom="737"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pPr>
  </w:p>
  <w:tbl>
    <w:tblPr>
      <w:tblW w:type="auto" w:w="0"/>
      <w:jc w:val="center"/>
      <w:tblLayout w:type="fixed"/>
      <w:tblLook w:firstColumn="1" w:firstRow="1" w:lastColumn="0" w:lastRow="0" w:noHBand="0" w:noVBand="1" w:val="04A0"/>
    </w:tblPr>
    <w:tblGrid>
      <w:gridCol w:w="3496"/>
      <w:gridCol w:w="3496"/>
      <w:gridCol w:w="3496"/>
    </w:tblGrid>
    <w:tr>
      <w:tc>
        <w:tcPr>
          <w:tcW w:type="dxa" w:w="3685"/>
          <w:tcBorders>
            <w:top w:val="nil"/>
            <w:left w:val="nil"/>
            <w:bottom w:val="nil"/>
            <w:right w:val="nil"/>
          </w:tcBorders>
        </w:tcPr>
        <w:p>
          <w:pPr>
            <w:spacing w:line="240" w:lineRule="auto" w:after="60"/>
          </w:pPr>
          <w:r>
            <w:rPr>
              <w:rFonts w:ascii="Arial" w:hAnsi="Arial" w:eastAsia="Arial" w:cs="Arial"/>
              <w:b/>
              <w:color w:val="5F6B76"/>
              <w:sz w:val="15"/>
            </w:rPr>
            <w:t>GT SAS</w:t>
          </w:r>
        </w:p>
      </w:tc>
      <w:tc>
        <w:tcPr>
          <w:tcW w:type="dxa" w:w="3118"/>
          <w:tcBorders>
            <w:top w:val="nil"/>
            <w:left w:val="nil"/>
            <w:bottom w:val="nil"/>
            <w:right w:val="nil"/>
          </w:tcBorders>
        </w:tcPr>
        <w:p>
          <w:pPr>
            <w:spacing w:line="240" w:lineRule="auto" w:after="60"/>
            <w:jc w:val="center"/>
          </w:pPr>
          <w:r>
            <w:rPr>
              <w:rFonts w:ascii="Arial" w:hAnsi="Arial" w:eastAsia="Arial" w:cs="Arial"/>
              <w:color w:val="5F6B76"/>
              <w:sz w:val="15"/>
            </w:rPr>
            <w:t>JNR 2026</w:t>
          </w:r>
        </w:p>
      </w:tc>
      <w:tc>
        <w:tcPr>
          <w:tcW w:type="dxa" w:w="3685"/>
          <w:tcBorders>
            <w:top w:val="nil"/>
            <w:left w:val="nil"/>
            <w:bottom w:val="nil"/>
            <w:right w:val="nil"/>
          </w:tcBorders>
        </w:tcPr>
        <w:p>
          <w:pPr>
            <w:spacing w:line="240" w:lineRule="auto" w:after="60"/>
            <w:jc w:val="right"/>
          </w:pPr>
          <w:r>
            <w:rPr>
              <w:rFonts w:ascii="Arial" w:hAnsi="Arial" w:eastAsia="Arial" w:cs="Arial"/>
              <w:color w:val="5F6B76"/>
              <w:sz w:val="15"/>
            </w:rPr>
            <w:t xml:space="preserve">Page </w:t>
          </w:r>
          <w:r>
            <w:rPr>
              <w:rFonts w:ascii="Arial" w:hAnsi="Arial" w:eastAsia="Arial" w:cs="Arial"/>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line="240" w:lineRule="auto"/>
      <w:jc w:val="left"/>
      <w:pBdr>
        <w:bottom w:val="single" w:sz="10" w:space="3" w:color="008A7A"/>
      </w:pBdr>
    </w:pPr>
    <w:r>
      <w:rPr>
        <w:rFonts w:ascii="Arial" w:hAnsi="Arial" w:eastAsia="Arial" w:cs="Arial"/>
        <w:b/>
        <w:color w:val="0B2D4F"/>
        <w:sz w:val="16"/>
      </w:rPr>
      <w:t>MON PLAN RÉSILIENCE 976  |  DOSSIER DE PRÉSENTATION JNR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1325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D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8A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2D4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2D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F6B7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b w:val="0"/>
      <w:color w:val="13253A"/>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small">
    <w:name w:val="Source small"/>
    <w:rPr>
      <w:rFonts w:ascii="Liberation Sans" w:hAnsi="Liberation Sans"/>
      <w:color w:val="6B77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resilience-976.netlify.app/"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insee.fr/fr/information/9022279" TargetMode="External"/><Relationship Id="rId17" Type="http://schemas.openxmlformats.org/officeDocument/2006/relationships/hyperlink" Target="https://www.mayotte.gouv.fr/Actions-de-l-Etat/Prevention-des-risques-et-securite/Prevention-des-risques2/Risques-naturels" TargetMode="External"/><Relationship Id="rId18" Type="http://schemas.openxmlformats.org/officeDocument/2006/relationships/hyperlink" Target="https://www.mayotte.gouv.fr/Actions-de-l-Etat/Prevention-des-risques-et-securite/Prevention-des-risques2/Risques-naturels/Risques-meteorologiques/Cyclones/ORSEC-Cyclones" TargetMode="External"/><Relationship Id="rId19" Type="http://schemas.openxmlformats.org/officeDocument/2006/relationships/hyperlink" Target="https://www.georisques.gouv.fr/campagne-de-prevention-pluies-et-inondations-en-outre-mer-2026" TargetMode="External"/><Relationship Id="rId20" Type="http://schemas.openxmlformats.org/officeDocument/2006/relationships/hyperlink" Target="https://www.ecologie.gouv.fr/rendez-vous/journee-nationale-resil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Plan Résilience 976 - Dossier JNR 2026</dc:title>
  <dc:subject>Dossier de présentation du projet</dc:subject>
  <dc:creator>GT SAS</dc:creator>
  <cp:keywords>JNR 2026, Mayotte, résilience, risques majeurs, prévention</cp:keywords>
  <dc:description>Version de travail pour dépôt de candidature.</dc:description>
  <cp:lastModifiedBy/>
  <cp:revision>1</cp:revision>
  <dcterms:created xsi:type="dcterms:W3CDTF">2013-12-23T23:15:00Z</dcterms:created>
  <dcterms:modified xsi:type="dcterms:W3CDTF">2013-12-23T23:15:00Z</dcterms:modified>
  <cp:category/>
</cp:coreProperties>
</file>