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40" w:line="257" w:lineRule="auto"/>
      </w:pPr>
      <w:r>
        <w:rPr>
          <w:rFonts w:ascii="Aptos" w:hAnsi="Aptos"/>
          <w:b/>
          <w:i w:val="0"/>
          <w:color w:val="008C95"/>
          <w:sz w:val="21"/>
        </w:rPr>
        <w:t>JOURNÉE NATIONALE DE LA RÉSILIENCE 2026</w:t>
      </w:r>
    </w:p>
    <w:p>
      <w:pPr>
        <w:keepNext w:val="0"/>
        <w:spacing w:before="0" w:after="20" w:line="257" w:lineRule="auto"/>
      </w:pPr>
      <w:r>
        <w:rPr>
          <w:rFonts w:ascii="Aptos" w:hAnsi="Aptos"/>
          <w:b/>
          <w:i w:val="0"/>
          <w:color w:val="102A43"/>
          <w:sz w:val="54"/>
        </w:rPr>
        <w:t>Mon Plan Résilience 976</w:t>
      </w:r>
    </w:p>
    <w:p>
      <w:pPr>
        <w:keepNext w:val="0"/>
        <w:spacing w:before="0" w:after="200" w:line="257" w:lineRule="auto"/>
      </w:pPr>
      <w:r>
        <w:rPr>
          <w:rFonts w:ascii="Aptos" w:hAnsi="Aptos"/>
          <w:b/>
          <w:i w:val="0"/>
          <w:color w:val="008C95"/>
          <w:sz w:val="31"/>
        </w:rPr>
        <w:t>Conformité fonctionnelle, gouvernance des contenus, accessibilité et mesure d’impact</w:t>
      </w:r>
    </w:p>
    <w:tbl>
      <w:tblPr>
        <w:tblW w:type="auto" w:w="0"/>
        <w:jc w:val="center"/>
        <w:tblLayout w:type="fixed"/>
        <w:tblLook w:firstColumn="1" w:firstRow="1" w:lastColumn="0" w:lastRow="0" w:noHBand="0" w:noVBand="1" w:val="04A0"/>
      </w:tblPr>
      <w:tblGrid>
        <w:gridCol w:w="3168"/>
        <w:gridCol w:w="3168"/>
        <w:gridCol w:w="3168"/>
      </w:tblGrid>
      <w:tr>
        <w:tc>
          <w:tcPr>
            <w:tcW w:type="dxa" w:w="3456"/>
            <w:shd w:fill="EAF7F9"/>
            <w:tcBorders>
              <w:top w:sz="6" w:val="single" w:color="CFE1E8"/>
              <w:left w:sz="6" w:val="single" w:color="CFE1E8"/>
              <w:bottom w:sz="6" w:val="single" w:color="CFE1E8"/>
              <w:right w:sz="6" w:val="single" w:color="CFE1E8"/>
            </w:tcBorders>
            <w:tcMar>
              <w:top w:w="70" w:type="dxa"/>
              <w:start w:w="90" w:type="dxa"/>
              <w:bottom w:w="70" w:type="dxa"/>
              <w:end w:w="90" w:type="dxa"/>
            </w:tcMar>
          </w:tcPr>
          <w:p>
            <w:pPr>
              <w:jc w:val="center"/>
            </w:pPr>
            <w:r>
              <w:rPr>
                <w:rFonts w:ascii="Aptos" w:hAnsi="Aptos"/>
                <w:b/>
                <w:color w:val="008C95"/>
                <w:sz w:val="17"/>
              </w:rPr>
              <w:t>Gratuité</w:t>
              <w:br/>
            </w:r>
            <w:r>
              <w:rPr>
                <w:rFonts w:ascii="Aptos" w:hAnsi="Aptos"/>
                <w:b/>
                <w:color w:val="102A43"/>
                <w:sz w:val="19"/>
              </w:rPr>
              <w:t>Sans promotion commerciale</w:t>
            </w:r>
          </w:p>
        </w:tc>
        <w:tc>
          <w:tcPr>
            <w:tcW w:type="dxa" w:w="3456"/>
            <w:shd w:fill="EAF7F9"/>
            <w:tcBorders>
              <w:top w:sz="6" w:val="single" w:color="CFE1E8"/>
              <w:left w:sz="6" w:val="single" w:color="CFE1E8"/>
              <w:bottom w:sz="6" w:val="single" w:color="CFE1E8"/>
              <w:right w:sz="6" w:val="single" w:color="CFE1E8"/>
            </w:tcBorders>
            <w:tcMar>
              <w:top w:w="70" w:type="dxa"/>
              <w:start w:w="90" w:type="dxa"/>
              <w:bottom w:w="70" w:type="dxa"/>
              <w:end w:w="90" w:type="dxa"/>
            </w:tcMar>
          </w:tcPr>
          <w:p>
            <w:pPr>
              <w:jc w:val="center"/>
            </w:pPr>
            <w:r>
              <w:rPr>
                <w:rFonts w:ascii="Aptos" w:hAnsi="Aptos"/>
                <w:b/>
                <w:color w:val="008C95"/>
                <w:sz w:val="17"/>
              </w:rPr>
              <w:t>Confidentialité</w:t>
              <w:br/>
            </w:r>
            <w:r>
              <w:rPr>
                <w:rFonts w:ascii="Aptos" w:hAnsi="Aptos"/>
                <w:b/>
                <w:color w:val="102A43"/>
                <w:sz w:val="19"/>
              </w:rPr>
              <w:t>Sans compte, données locales</w:t>
            </w:r>
          </w:p>
        </w:tc>
        <w:tc>
          <w:tcPr>
            <w:tcW w:type="dxa" w:w="3456"/>
            <w:shd w:fill="EAF7F9"/>
            <w:tcBorders>
              <w:top w:sz="6" w:val="single" w:color="CFE1E8"/>
              <w:left w:sz="6" w:val="single" w:color="CFE1E8"/>
              <w:bottom w:sz="6" w:val="single" w:color="CFE1E8"/>
              <w:right w:sz="6" w:val="single" w:color="CFE1E8"/>
            </w:tcBorders>
            <w:tcMar>
              <w:top w:w="70" w:type="dxa"/>
              <w:start w:w="90" w:type="dxa"/>
              <w:bottom w:w="70" w:type="dxa"/>
              <w:end w:w="90" w:type="dxa"/>
            </w:tcMar>
          </w:tcPr>
          <w:p>
            <w:pPr>
              <w:jc w:val="center"/>
            </w:pPr>
            <w:r>
              <w:rPr>
                <w:rFonts w:ascii="Aptos" w:hAnsi="Aptos"/>
                <w:b/>
                <w:color w:val="008C95"/>
                <w:sz w:val="17"/>
              </w:rPr>
              <w:t>Fiabilité</w:t>
              <w:br/>
              <w:t>Sources tracées ; validation avant publication</w:t>
            </w:r>
            <w:r>
              <w:rPr>
                <w:rFonts w:ascii="Aptos" w:hAnsi="Aptos"/>
                <w:b/>
                <w:color w:val="102A43"/>
                <w:sz w:val="19"/>
              </w:rPr>
            </w:r>
          </w:p>
        </w:tc>
      </w:tr>
    </w:tbl>
    <w:p>
      <w:pPr>
        <w:spacing w:after="80"/>
      </w:pPr>
    </w:p>
    <w:tbl>
      <w:tblPr>
        <w:tblW w:type="auto" w:w="0"/>
        <w:jc w:val="center"/>
        <w:tblLayout w:type="fixed"/>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008C95"/>
                <w:sz w:val="20"/>
              </w:rPr>
              <w:t>Objet de l’annexe</w:t>
            </w:r>
          </w:p>
          <w:p>
            <w:pPr>
              <w:spacing w:after="0" w:line="250" w:lineRule="auto"/>
            </w:pPr>
            <w:r>
              <w:rPr>
                <w:rFonts w:ascii="Aptos" w:hAnsi="Aptos"/>
                <w:color w:val="102A43"/>
                <w:sz w:val="19"/>
              </w:rPr>
              <w:t>Présenter les dispositions prévues pour assurer la qualité des informations, la protection des utilisateurs, l’accessibilité du service et la mesure de son impact. Cette note complète le dossier de présentation et le démonstrateur fonctionnel.</w:t>
            </w:r>
          </w:p>
        </w:tc>
      </w:tr>
    </w:tbl>
    <w:p>
      <w:pPr>
        <w:spacing w:after="20"/>
      </w:pPr>
    </w:p>
    <w:p>
      <w:pPr>
        <w:spacing w:after="40"/>
        <w:jc w:val="center"/>
      </w:pPr>
      <w:r>
        <w:drawing>
          <wp:inline xmlns:a="http://schemas.openxmlformats.org/drawingml/2006/main" xmlns:pic="http://schemas.openxmlformats.org/drawingml/2006/picture">
            <wp:extent cx="5943600" cy="2484239"/>
            <wp:docPr id="1" name="Picture 1"/>
            <wp:cNvGraphicFramePr>
              <a:graphicFrameLocks noChangeAspect="1"/>
            </wp:cNvGraphicFramePr>
            <a:graphic>
              <a:graphicData uri="http://schemas.openxmlformats.org/drawingml/2006/picture">
                <pic:pic>
                  <pic:nvPicPr>
                    <pic:cNvPr id="0" name="preuve_sources.png"/>
                    <pic:cNvPicPr/>
                  </pic:nvPicPr>
                  <pic:blipFill>
                    <a:blip r:embed="rId11"/>
                    <a:stretch>
                      <a:fillRect/>
                    </a:stretch>
                  </pic:blipFill>
                  <pic:spPr>
                    <a:xfrm>
                      <a:off x="0" y="0"/>
                      <a:ext cx="5943600" cy="2484239"/>
                    </a:xfrm>
                    <a:prstGeom prst="rect"/>
                  </pic:spPr>
                </pic:pic>
              </a:graphicData>
            </a:graphic>
          </wp:inline>
        </w:drawing>
      </w:r>
    </w:p>
    <w:p>
      <w:pPr>
        <w:spacing w:after="120"/>
        <w:jc w:val="center"/>
      </w:pPr>
      <w:r>
        <w:rPr>
          <w:rFonts w:ascii="Aptos" w:hAnsi="Aptos"/>
          <w:i/>
          <w:color w:val="52677A"/>
          <w:sz w:val="16"/>
        </w:rPr>
        <w:t>Le prototype distingue les thèmes, les sources associées et le statut éditorial des contenus.</w:t>
      </w:r>
    </w:p>
    <w:tbl>
      <w:tblPr>
        <w:tblW w:type="auto" w:w="0"/>
        <w:jc w:val="center"/>
        <w:tblLayout w:type="fixed"/>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FF8B2C"/>
                <w:sz w:val="20"/>
              </w:rPr>
              <w:t>Portée du document</w:t>
            </w:r>
          </w:p>
          <w:p>
            <w:pPr>
              <w:spacing w:after="0" w:line="250" w:lineRule="auto"/>
            </w:pPr>
            <w:r>
              <w:rPr>
                <w:rFonts w:ascii="Aptos" w:hAnsi="Aptos"/>
                <w:color w:val="102A43"/>
                <w:sz w:val="19"/>
              </w:rPr>
              <w:t>Cette annexe formalise les engagements de conception et les contrôles prévus avant l’ouverture publique. Elle ne constitue ni une certification juridique, ni un audit de conformité réglementaire, ni une attestation d’accessibilité.</w:t>
            </w:r>
          </w:p>
        </w:tc>
      </w:tr>
    </w:tbl>
    <w:p>
      <w:pPr>
        <w:spacing w:after="20"/>
      </w:pPr>
    </w:p>
    <w:p>
      <w:r>
        <w:br w:type="page"/>
      </w:r>
    </w:p>
    <w:p>
      <w:pPr>
        <w:keepNext/>
        <w:spacing w:after="40"/>
      </w:pPr>
      <w:r>
        <w:rPr>
          <w:rFonts w:ascii="Aptos" w:hAnsi="Aptos"/>
          <w:b/>
          <w:color w:val="008C95"/>
          <w:sz w:val="36"/>
        </w:rPr>
        <w:t xml:space="preserve">1. </w:t>
      </w:r>
      <w:r>
        <w:rPr>
          <w:rFonts w:ascii="Aptos Display" w:hAnsi="Aptos Display"/>
          <w:b/>
          <w:color w:val="102A43"/>
          <w:sz w:val="36"/>
        </w:rPr>
        <w:t>Correspondance avec la Charte des valeurs JNR</w:t>
      </w:r>
    </w:p>
    <w:p>
      <w:pPr>
        <w:keepNext/>
        <w:spacing w:before="0" w:after="140" w:line="257" w:lineRule="auto"/>
      </w:pPr>
      <w:r>
        <w:rPr>
          <w:rFonts w:ascii="Aptos" w:hAnsi="Aptos"/>
          <w:b w:val="0"/>
          <w:i/>
          <w:color w:val="52677A"/>
          <w:sz w:val="20"/>
        </w:rPr>
        <w:t>Une traduction opérationnelle des engagements du règlement dans la conception et l’exploitation du service.</w:t>
      </w:r>
    </w:p>
    <w:tbl>
      <w:tblPr>
        <w:tblW w:type="auto" w:w="0"/>
        <w:jc w:val="center"/>
        <w:tblLayout w:type="fixed"/>
        <w:tblLook w:firstColumn="1" w:firstRow="1" w:lastColumn="0" w:lastRow="0" w:noHBand="0" w:noVBand="1" w:val="04A0"/>
      </w:tblPr>
      <w:tblGrid>
        <w:gridCol w:w="2275"/>
        <w:gridCol w:w="5112"/>
        <w:gridCol w:w="1512"/>
        <w:gridCol w:w="792"/>
      </w:tblGrid>
      <w:tr>
        <w:tc>
          <w:tcPr>
            <w:tcW w:type="dxa" w:w="2592"/>
            <w:shd w:fill="102A43"/>
            <w:tcMar>
              <w:top w:w="70" w:type="dxa"/>
              <w:start w:w="90" w:type="dxa"/>
              <w:bottom w:w="70" w:type="dxa"/>
              <w:end w:w="90" w:type="dxa"/>
            </w:tcMar>
          </w:tcPr>
          <w:p>
            <w:pPr>
              <w:jc w:val="center"/>
            </w:pPr>
            <w:r>
              <w:rPr>
                <w:rFonts w:ascii="Aptos" w:hAnsi="Aptos"/>
                <w:b/>
                <w:color w:val="FFFFFF"/>
                <w:sz w:val="16"/>
              </w:rPr>
              <w:t>Principe</w:t>
            </w:r>
          </w:p>
        </w:tc>
        <w:tc>
          <w:tcPr>
            <w:tcW w:type="dxa" w:w="2592"/>
            <w:shd w:fill="102A43"/>
            <w:tcMar>
              <w:top w:w="70" w:type="dxa"/>
              <w:start w:w="90" w:type="dxa"/>
              <w:bottom w:w="70" w:type="dxa"/>
              <w:end w:w="90" w:type="dxa"/>
            </w:tcMar>
          </w:tcPr>
          <w:p>
            <w:pPr>
              <w:jc w:val="center"/>
            </w:pPr>
            <w:r>
              <w:rPr>
                <w:rFonts w:ascii="Aptos" w:hAnsi="Aptos"/>
                <w:b/>
                <w:color w:val="FFFFFF"/>
                <w:sz w:val="16"/>
              </w:rPr>
              <w:t>Mise en œuvre dans le projet</w:t>
            </w:r>
          </w:p>
        </w:tc>
        <w:tc>
          <w:tcPr>
            <w:tcW w:type="dxa" w:w="2592"/>
            <w:shd w:fill="102A43"/>
            <w:tcMar>
              <w:top w:w="70" w:type="dxa"/>
              <w:start w:w="90" w:type="dxa"/>
              <w:bottom w:w="70" w:type="dxa"/>
              <w:end w:w="90" w:type="dxa"/>
            </w:tcMar>
          </w:tcPr>
          <w:p>
            <w:pPr>
              <w:jc w:val="center"/>
            </w:pPr>
            <w:r>
              <w:rPr>
                <w:rFonts w:ascii="Aptos" w:hAnsi="Aptos"/>
                <w:b/>
                <w:color w:val="FFFFFF"/>
                <w:sz w:val="16"/>
              </w:rPr>
              <w:t>Échéance</w:t>
            </w:r>
          </w:p>
        </w:tc>
        <w:tc>
          <w:tcPr>
            <w:tcW w:type="dxa" w:w="2592"/>
            <w:shd w:fill="102A43"/>
            <w:tcMar>
              <w:top w:w="70" w:type="dxa"/>
              <w:start w:w="90" w:type="dxa"/>
              <w:bottom w:w="70" w:type="dxa"/>
              <w:end w:w="90" w:type="dxa"/>
            </w:tcMar>
          </w:tcPr>
          <w:p>
            <w:pPr>
              <w:jc w:val="center"/>
            </w:pPr>
            <w:r>
              <w:rPr>
                <w:rFonts w:ascii="Aptos" w:hAnsi="Aptos"/>
                <w:b/>
                <w:color w:val="FFFFFF"/>
                <w:sz w:val="16"/>
              </w:rPr>
              <w:t>État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Rigueur scientifique et sincérité</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Chaque recommandation est reliée à une source identifiée. Les contenus non encore expertisés restent marqués « En cours de validation éditoriale ».</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Déjà visible</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EAF5E5"/>
          </w:tcPr>
          <w:p>
            <w:pPr>
              <w:jc w:val="center"/>
            </w:pPr>
            <w:r>
              <w:rPr>
                <w:rFonts w:ascii="Aptos" w:hAnsi="Aptos"/>
                <w:b/>
                <w:color w:val="5C9E3F"/>
                <w:sz w:val="16"/>
              </w:rPr>
              <w: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Gratuité et absence de promotion commerciale</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Accès gratuit, sans paiement, publicité ni mise en avant commerciale de GT SAS dans le parcours utilisateur.</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Engagement ferme</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EAF5E5"/>
          </w:tcPr>
          <w:p>
            <w:pPr>
              <w:jc w:val="center"/>
            </w:pPr>
            <w:r>
              <w:rPr>
                <w:rFonts w:ascii="Aptos" w:hAnsi="Aptos"/>
                <w:b/>
                <w:color w:val="5C9E3F"/>
                <w:sz w:val="16"/>
              </w:rPr>
              <w: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Accessibilité et non-discrimination</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Interface mobile-first, langage simple, navigation structurée, supports imprimables et tests d’accessibilité avant lancement.</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À finaliser</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FFF3E5"/>
          </w:tcPr>
          <w:p>
            <w:pPr>
              <w:jc w:val="center"/>
            </w:pPr>
            <w:r>
              <w:rPr>
                <w:rFonts w:ascii="Aptos" w:hAnsi="Aptos"/>
                <w:b/>
                <w:color w:val="FF8B2C"/>
                <w:sz w:val="16"/>
              </w:rPr>
              <w: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Sécurité des personnes</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Le service informe sans se substituer aux autorités, aux alertes officielles ou aux secours. Un avertissement est affiché dans les résultats.</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Déjà visible</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EAF5E5"/>
          </w:tcPr>
          <w:p>
            <w:pPr>
              <w:jc w:val="center"/>
            </w:pPr>
            <w:r>
              <w:rPr>
                <w:rFonts w:ascii="Aptos" w:hAnsi="Aptos"/>
                <w:b/>
                <w:color w:val="5C9E3F"/>
                <w:sz w:val="16"/>
              </w:rPr>
              <w: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Partage des savoirs</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Diagnostic, fiches, checklist, kit d’urgence et ressources peuvent être utilisés gratuitement par les familles et les relais locaux.</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Déjà visible</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EAF5E5"/>
          </w:tcPr>
          <w:p>
            <w:pPr>
              <w:jc w:val="center"/>
            </w:pPr>
            <w:r>
              <w:rPr>
                <w:rFonts w:ascii="Aptos" w:hAnsi="Aptos"/>
                <w:b/>
                <w:color w:val="5C9E3F"/>
                <w:sz w:val="16"/>
              </w:rPr>
              <w: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Dialogue et écoute</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Les retours des partenaires et utilisateurs alimenteront la correction et la mise à jour des contenus.</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Avant lancement</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EDF2F5"/>
          </w:tcPr>
          <w:p>
            <w:pPr>
              <w:jc w:val="center"/>
            </w:pPr>
            <w:r>
              <w:rPr>
                <w:rFonts w:ascii="Aptos" w:hAnsi="Aptos"/>
                <w:b/>
                <w:color w:val="52677A"/>
                <w:sz w:val="16"/>
              </w:rPr>
              <w: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Développement durable</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Service dématérialisé, pages légères, limitation des traceurs et documents imprimables uniquement à la demande.</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À consolider</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FFF3E5"/>
          </w:tcPr>
          <w:p>
            <w:pPr>
              <w:jc w:val="center"/>
            </w:pPr>
            <w:r>
              <w:rPr>
                <w:rFonts w:ascii="Aptos" w:hAnsi="Aptos"/>
                <w:b/>
                <w:color w:val="FF8B2C"/>
                <w:sz w:val="16"/>
              </w:rPr>
              <w:t>●</w:t>
            </w:r>
          </w:p>
        </w:tc>
      </w:tr>
      <w:tr>
        <w:tc>
          <w:tcPr>
            <w:tcW w:type="dxa" w:w="2275"/>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b/>
                <w:color w:val="102A43"/>
                <w:sz w:val="16"/>
              </w:rPr>
              <w:t>Langue française et ouverture locale</w:t>
            </w:r>
          </w:p>
        </w:tc>
        <w:tc>
          <w:tcPr>
            <w:tcW w:type="dxa" w:w="51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r>
              <w:rPr>
                <w:rFonts w:ascii="Aptos" w:hAnsi="Aptos"/>
                <w:color w:val="102A43"/>
                <w:sz w:val="15"/>
              </w:rPr>
              <w:t>Le français est la langue de référence. Les versions shimaoré et kibushi seront ajoutées uniquement après traduction et validation locales.</w:t>
            </w:r>
          </w:p>
        </w:tc>
        <w:tc>
          <w:tcPr>
            <w:tcW w:type="dxa" w:w="151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tcPr>
          <w:p>
            <w:pPr>
              <w:jc w:val="center"/>
            </w:pPr>
            <w:r>
              <w:rPr>
                <w:rFonts w:ascii="Aptos" w:hAnsi="Aptos"/>
                <w:color w:val="52677A"/>
                <w:sz w:val="15"/>
              </w:rPr>
              <w:t>Évolution prévue</w:t>
            </w:r>
          </w:p>
        </w:tc>
        <w:tc>
          <w:tcPr>
            <w:tcW w:type="dxa" w:w="792"/>
            <w:tcBorders>
              <w:top w:sz="4" w:val="single" w:color="CFE1E8"/>
              <w:left w:sz="4" w:val="single" w:color="CFE1E8"/>
              <w:bottom w:sz="4" w:val="single" w:color="CFE1E8"/>
              <w:right w:sz="4" w:val="single" w:color="CFE1E8"/>
            </w:tcBorders>
            <w:tcMar>
              <w:top w:w="55" w:type="dxa"/>
              <w:start w:w="70" w:type="dxa"/>
              <w:bottom w:w="55" w:type="dxa"/>
              <w:end w:w="70" w:type="dxa"/>
            </w:tcMar>
            <w:vAlign w:val="center"/>
            <w:shd w:fill="EDF2F5"/>
          </w:tcPr>
          <w:p>
            <w:pPr>
              <w:jc w:val="center"/>
            </w:pPr>
            <w:r>
              <w:rPr>
                <w:rFonts w:ascii="Aptos" w:hAnsi="Aptos"/>
                <w:b/>
                <w:color w:val="52677A"/>
                <w:sz w:val="16"/>
              </w:rPr>
              <w:t>●</w:t>
            </w:r>
          </w:p>
        </w:tc>
      </w:tr>
    </w:tbl>
    <w:p>
      <w:pPr>
        <w:keepNext w:val="0"/>
        <w:spacing w:before="100" w:after="0" w:line="257" w:lineRule="auto"/>
      </w:pPr>
      <w:r>
        <w:rPr>
          <w:rFonts w:ascii="Aptos" w:hAnsi="Aptos"/>
          <w:b w:val="0"/>
          <w:i/>
          <w:color w:val="52677A"/>
          <w:sz w:val="16"/>
        </w:rPr>
        <w:t>Référence : règlement de l’appel à projets JNR 2026, article 4 - Charte des valeurs.</w:t>
      </w:r>
    </w:p>
    <w:p>
      <w:r>
        <w:br w:type="page"/>
      </w:r>
    </w:p>
    <w:p>
      <w:pPr>
        <w:keepNext/>
        <w:spacing w:after="40"/>
      </w:pPr>
      <w:r>
        <w:rPr>
          <w:rFonts w:ascii="Aptos" w:hAnsi="Aptos"/>
          <w:b/>
          <w:color w:val="008C95"/>
          <w:sz w:val="36"/>
        </w:rPr>
        <w:t xml:space="preserve">2. </w:t>
      </w:r>
      <w:r>
        <w:rPr>
          <w:rFonts w:ascii="Aptos Display" w:hAnsi="Aptos Display"/>
          <w:b/>
          <w:color w:val="102A43"/>
          <w:sz w:val="36"/>
        </w:rPr>
        <w:t>Gouvernance des contenus et traçabilité des sources</w:t>
      </w:r>
    </w:p>
    <w:p>
      <w:pPr>
        <w:keepNext/>
        <w:spacing w:before="0" w:after="140" w:line="257" w:lineRule="auto"/>
      </w:pPr>
      <w:r>
        <w:rPr>
          <w:rFonts w:ascii="Aptos" w:hAnsi="Aptos"/>
          <w:b w:val="0"/>
          <w:i/>
          <w:color w:val="52677A"/>
          <w:sz w:val="20"/>
        </w:rPr>
        <w:t>Aucune consigne de sécurité ne doit être publiée sans source identifiable et sans statut éditorial explicite.</w:t>
      </w:r>
    </w:p>
    <w:tbl>
      <w:tblPr>
        <w:tblW w:type="auto" w:w="0"/>
        <w:jc w:val="center"/>
        <w:tblLayout w:type="fixed"/>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008C95"/>
                <w:sz w:val="20"/>
              </w:rPr>
              <w:t>Principe directeur</w:t>
            </w:r>
          </w:p>
          <w:p>
            <w:pPr>
              <w:spacing w:after="0" w:line="250" w:lineRule="auto"/>
            </w:pPr>
            <w:r>
              <w:rPr>
                <w:rFonts w:ascii="Aptos" w:hAnsi="Aptos"/>
                <w:color w:val="102A43"/>
                <w:sz w:val="19"/>
              </w:rPr>
              <w:t>La plateforme n’invente pas de recommandations. Elle transforme des contenus officiels ou reconnus en questions, actions et fiches pratiques, tout en conservant la source et la date de vérification.</w:t>
            </w:r>
          </w:p>
        </w:tc>
      </w:tr>
    </w:tbl>
    <w:p>
      <w:pPr>
        <w:spacing w:after="20"/>
      </w:pPr>
    </w:p>
    <w:p>
      <w:pPr>
        <w:keepNext/>
        <w:spacing w:before="0" w:after="60" w:line="257" w:lineRule="auto"/>
      </w:pPr>
      <w:r>
        <w:rPr>
          <w:rFonts w:ascii="Aptos" w:hAnsi="Aptos"/>
          <w:b/>
          <w:i w:val="0"/>
          <w:color w:val="008C95"/>
          <w:sz w:val="25"/>
        </w:rPr>
        <w:t>Hiérarchie des sources</w:t>
      </w:r>
    </w:p>
    <w:tbl>
      <w:tblPr>
        <w:tblW w:type="auto" w:w="0"/>
        <w:jc w:val="center"/>
        <w:tblLayout w:type="fixed"/>
        <w:tblLook w:firstColumn="1" w:firstRow="1" w:lastColumn="0" w:lastRow="0" w:noHBand="0" w:noVBand="1" w:val="04A0"/>
      </w:tblPr>
      <w:tblGrid>
        <w:gridCol w:w="2592"/>
        <w:gridCol w:w="6912"/>
      </w:tblGrid>
      <w:tr>
        <w:tc>
          <w:tcPr>
            <w:tcW w:type="dxa" w:w="2592"/>
            <w:shd w:fill="F4FAFB"/>
            <w:tcBorders>
              <w:top w:sz="5" w:val="single" w:color="CFE1E8"/>
              <w:left w:sz="5" w:val="single" w:color="CFE1E8"/>
              <w:bottom w:sz="5" w:val="single" w:color="CFE1E8"/>
              <w:right w:sz="5" w:val="single" w:color="CFE1E8"/>
            </w:tcBorders>
            <w:tcMar>
              <w:top w:w="70" w:type="dxa"/>
              <w:start w:w="90" w:type="dxa"/>
              <w:bottom w:w="70" w:type="dxa"/>
              <w:end w:w="90" w:type="dxa"/>
            </w:tcMar>
          </w:tcPr>
          <w:p>
            <w:r>
              <w:rPr>
                <w:rFonts w:ascii="Aptos" w:hAnsi="Aptos"/>
                <w:b/>
                <w:color w:val="008C95"/>
                <w:sz w:val="17"/>
              </w:rPr>
              <w:t>Niveau 1 - Autorités publiques</w:t>
            </w:r>
          </w:p>
        </w:tc>
        <w:tc>
          <w:tcPr>
            <w:tcW w:type="dxa" w:w="6912"/>
            <w:shd w:fill="F4FAFB"/>
            <w:tcBorders>
              <w:top w:sz="5" w:val="single" w:color="CFE1E8"/>
              <w:left w:sz="5" w:val="single" w:color="CFE1E8"/>
              <w:bottom w:sz="5" w:val="single" w:color="CFE1E8"/>
              <w:right w:sz="5" w:val="single" w:color="CFE1E8"/>
            </w:tcBorders>
            <w:tcMar>
              <w:top w:w="70" w:type="dxa"/>
              <w:start w:w="90" w:type="dxa"/>
              <w:bottom w:w="70" w:type="dxa"/>
              <w:end w:w="90" w:type="dxa"/>
            </w:tcMar>
          </w:tcPr>
          <w:p>
            <w:r>
              <w:rPr>
                <w:rFonts w:ascii="Aptos" w:hAnsi="Aptos"/>
                <w:color w:val="102A43"/>
                <w:sz w:val="17"/>
              </w:rPr>
              <w:t>Préfecture de Mayotte, Sécurité civile, ministère de l’Intérieur, FR-Alert, Météo-France, BRGM ou autres organismes publics compétents.</w:t>
            </w:r>
          </w:p>
        </w:tc>
      </w:tr>
      <w:tr>
        <w:tc>
          <w:tcPr>
            <w:tcW w:type="dxa" w:w="2592"/>
            <w:shd w:fill="F4FAFB"/>
            <w:tcBorders>
              <w:top w:sz="5" w:val="single" w:color="CFE1E8"/>
              <w:left w:sz="5" w:val="single" w:color="CFE1E8"/>
              <w:bottom w:sz="5" w:val="single" w:color="CFE1E8"/>
              <w:right w:sz="5" w:val="single" w:color="CFE1E8"/>
            </w:tcBorders>
            <w:tcMar>
              <w:top w:w="70" w:type="dxa"/>
              <w:start w:w="90" w:type="dxa"/>
              <w:bottom w:w="70" w:type="dxa"/>
              <w:end w:w="90" w:type="dxa"/>
            </w:tcMar>
          </w:tcPr>
          <w:p>
            <w:r>
              <w:rPr>
                <w:rFonts w:ascii="Aptos" w:hAnsi="Aptos"/>
                <w:b/>
                <w:color w:val="008C95"/>
                <w:sz w:val="17"/>
              </w:rPr>
              <w:t>Niveau 2 - Acteurs reconnus</w:t>
            </w:r>
          </w:p>
        </w:tc>
        <w:tc>
          <w:tcPr>
            <w:tcW w:type="dxa" w:w="6912"/>
            <w:shd w:fill="F4FAFB"/>
            <w:tcBorders>
              <w:top w:sz="5" w:val="single" w:color="CFE1E8"/>
              <w:left w:sz="5" w:val="single" w:color="CFE1E8"/>
              <w:bottom w:sz="5" w:val="single" w:color="CFE1E8"/>
              <w:right w:sz="5" w:val="single" w:color="CFE1E8"/>
            </w:tcBorders>
            <w:tcMar>
              <w:top w:w="70" w:type="dxa"/>
              <w:start w:w="90" w:type="dxa"/>
              <w:bottom w:w="70" w:type="dxa"/>
              <w:end w:w="90" w:type="dxa"/>
            </w:tcMar>
          </w:tcPr>
          <w:p>
            <w:r>
              <w:rPr>
                <w:rFonts w:ascii="Aptos" w:hAnsi="Aptos"/>
                <w:color w:val="102A43"/>
                <w:sz w:val="17"/>
              </w:rPr>
              <w:t>Croix-Rouge française et associations agréées ou spécialisées dans la prévention et la sécurité civile.</w:t>
            </w:r>
          </w:p>
        </w:tc>
      </w:tr>
      <w:tr>
        <w:tc>
          <w:tcPr>
            <w:tcW w:type="dxa" w:w="2592"/>
            <w:shd w:fill="F4FAFB"/>
            <w:tcBorders>
              <w:top w:sz="5" w:val="single" w:color="CFE1E8"/>
              <w:left w:sz="5" w:val="single" w:color="CFE1E8"/>
              <w:bottom w:sz="5" w:val="single" w:color="CFE1E8"/>
              <w:right w:sz="5" w:val="single" w:color="CFE1E8"/>
            </w:tcBorders>
            <w:tcMar>
              <w:top w:w="70" w:type="dxa"/>
              <w:start w:w="90" w:type="dxa"/>
              <w:bottom w:w="70" w:type="dxa"/>
              <w:end w:w="90" w:type="dxa"/>
            </w:tcMar>
          </w:tcPr>
          <w:p>
            <w:r>
              <w:rPr>
                <w:rFonts w:ascii="Aptos" w:hAnsi="Aptos"/>
                <w:b/>
                <w:color w:val="008C95"/>
                <w:sz w:val="17"/>
              </w:rPr>
              <w:t>Niveau 3 - Validation territoriale</w:t>
            </w:r>
          </w:p>
        </w:tc>
        <w:tc>
          <w:tcPr>
            <w:tcW w:type="dxa" w:w="6912"/>
            <w:shd w:fill="F4FAFB"/>
            <w:tcBorders>
              <w:top w:sz="5" w:val="single" w:color="CFE1E8"/>
              <w:left w:sz="5" w:val="single" w:color="CFE1E8"/>
              <w:bottom w:sz="5" w:val="single" w:color="CFE1E8"/>
              <w:right w:sz="5" w:val="single" w:color="CFE1E8"/>
            </w:tcBorders>
            <w:tcMar>
              <w:top w:w="70" w:type="dxa"/>
              <w:start w:w="90" w:type="dxa"/>
              <w:bottom w:w="70" w:type="dxa"/>
              <w:end w:w="90" w:type="dxa"/>
            </w:tcMar>
          </w:tcPr>
          <w:p>
            <w:r>
              <w:rPr>
                <w:rFonts w:ascii="Aptos" w:hAnsi="Aptos"/>
                <w:color w:val="102A43"/>
                <w:sz w:val="17"/>
              </w:rPr>
              <w:t>Relecture par un partenaire local, un service compétent ou un professionnel qualifié lorsque le contenu nécessite une adaptation à Mayotte.</w:t>
            </w:r>
          </w:p>
        </w:tc>
      </w:tr>
    </w:tbl>
    <w:p>
      <w:pPr>
        <w:keepNext/>
        <w:spacing w:before="140" w:after="60" w:line="257" w:lineRule="auto"/>
      </w:pPr>
      <w:r>
        <w:rPr>
          <w:rFonts w:ascii="Aptos" w:hAnsi="Aptos"/>
          <w:b/>
          <w:i w:val="0"/>
          <w:color w:val="008C95"/>
          <w:sz w:val="25"/>
        </w:rPr>
        <w:t>Cycle de publication d’un contenu</w:t>
      </w: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c>
          <w:tcPr>
            <w:tcW w:type="dxa" w:w="1354"/>
            <w:shd w:fill="EAF7F9"/>
            <w:tcBorders>
              <w:top w:sz="4" w:val="single" w:color="CFE1E8"/>
              <w:left w:sz="4" w:val="single" w:color="CFE1E8"/>
              <w:bottom w:sz="4" w:val="single" w:color="CFE1E8"/>
              <w:right w:sz="4" w:val="single" w:color="CFE1E8"/>
            </w:tcBorders>
            <w:tcMar>
              <w:top w:w="50" w:type="dxa"/>
              <w:start w:w="35" w:type="dxa"/>
              <w:bottom w:w="50" w:type="dxa"/>
              <w:end w:w="35" w:type="dxa"/>
            </w:tcMar>
          </w:tcPr>
          <w:p>
            <w:pPr>
              <w:jc w:val="center"/>
            </w:pPr>
            <w:r>
              <w:rPr>
                <w:rFonts w:ascii="Aptos" w:hAnsi="Aptos"/>
                <w:b/>
                <w:color w:val="102A43"/>
                <w:sz w:val="14"/>
              </w:rPr>
              <w:t>1. Proposition</w:t>
            </w:r>
          </w:p>
        </w:tc>
        <w:tc>
          <w:tcPr>
            <w:tcW w:type="dxa" w:w="1354"/>
            <w:shd w:fill="EAF7F9"/>
            <w:tcBorders>
              <w:top w:sz="4" w:val="single" w:color="CFE1E8"/>
              <w:left w:sz="4" w:val="single" w:color="CFE1E8"/>
              <w:bottom w:sz="4" w:val="single" w:color="CFE1E8"/>
              <w:right w:sz="4" w:val="single" w:color="CFE1E8"/>
            </w:tcBorders>
            <w:tcMar>
              <w:top w:w="50" w:type="dxa"/>
              <w:start w:w="35" w:type="dxa"/>
              <w:bottom w:w="50" w:type="dxa"/>
              <w:end w:w="35" w:type="dxa"/>
            </w:tcMar>
          </w:tcPr>
          <w:p>
            <w:pPr>
              <w:jc w:val="center"/>
            </w:pPr>
            <w:r>
              <w:rPr>
                <w:rFonts w:ascii="Aptos" w:hAnsi="Aptos"/>
                <w:b/>
                <w:color w:val="102A43"/>
                <w:sz w:val="14"/>
              </w:rPr>
              <w:t>2. Source jointe</w:t>
            </w:r>
          </w:p>
        </w:tc>
        <w:tc>
          <w:tcPr>
            <w:tcW w:type="dxa" w:w="1354"/>
            <w:shd w:fill="EAF7F9"/>
            <w:tcBorders>
              <w:top w:sz="4" w:val="single" w:color="CFE1E8"/>
              <w:left w:sz="4" w:val="single" w:color="CFE1E8"/>
              <w:bottom w:sz="4" w:val="single" w:color="CFE1E8"/>
              <w:right w:sz="4" w:val="single" w:color="CFE1E8"/>
            </w:tcBorders>
            <w:tcMar>
              <w:top w:w="50" w:type="dxa"/>
              <w:start w:w="35" w:type="dxa"/>
              <w:bottom w:w="50" w:type="dxa"/>
              <w:end w:w="35" w:type="dxa"/>
            </w:tcMar>
          </w:tcPr>
          <w:p>
            <w:pPr>
              <w:jc w:val="center"/>
            </w:pPr>
            <w:r>
              <w:rPr>
                <w:rFonts w:ascii="Aptos" w:hAnsi="Aptos"/>
                <w:b/>
                <w:color w:val="102A43"/>
                <w:sz w:val="14"/>
              </w:rPr>
              <w:t>3. Relecture</w:t>
            </w:r>
          </w:p>
        </w:tc>
        <w:tc>
          <w:tcPr>
            <w:tcW w:type="dxa" w:w="1354"/>
            <w:shd w:fill="DDF3EE"/>
            <w:tcBorders>
              <w:top w:sz="4" w:val="single" w:color="CFE1E8"/>
              <w:left w:sz="4" w:val="single" w:color="CFE1E8"/>
              <w:bottom w:sz="4" w:val="single" w:color="CFE1E8"/>
              <w:right w:sz="4" w:val="single" w:color="CFE1E8"/>
            </w:tcBorders>
            <w:tcMar>
              <w:top w:w="50" w:type="dxa"/>
              <w:start w:w="35" w:type="dxa"/>
              <w:bottom w:w="50" w:type="dxa"/>
              <w:end w:w="35" w:type="dxa"/>
            </w:tcMar>
          </w:tcPr>
          <w:p>
            <w:pPr>
              <w:jc w:val="center"/>
            </w:pPr>
            <w:r>
              <w:rPr>
                <w:rFonts w:ascii="Aptos" w:hAnsi="Aptos"/>
                <w:b/>
                <w:color w:val="102A43"/>
                <w:sz w:val="14"/>
              </w:rPr>
              <w:t>4. Validation</w:t>
            </w:r>
          </w:p>
        </w:tc>
        <w:tc>
          <w:tcPr>
            <w:tcW w:type="dxa" w:w="1354"/>
            <w:shd w:fill="DDF3EE"/>
            <w:tcBorders>
              <w:top w:sz="4" w:val="single" w:color="CFE1E8"/>
              <w:left w:sz="4" w:val="single" w:color="CFE1E8"/>
              <w:bottom w:sz="4" w:val="single" w:color="CFE1E8"/>
              <w:right w:sz="4" w:val="single" w:color="CFE1E8"/>
            </w:tcBorders>
            <w:tcMar>
              <w:top w:w="50" w:type="dxa"/>
              <w:start w:w="35" w:type="dxa"/>
              <w:bottom w:w="50" w:type="dxa"/>
              <w:end w:w="35" w:type="dxa"/>
            </w:tcMar>
          </w:tcPr>
          <w:p>
            <w:pPr>
              <w:jc w:val="center"/>
            </w:pPr>
            <w:r>
              <w:rPr>
                <w:rFonts w:ascii="Aptos" w:hAnsi="Aptos"/>
                <w:b/>
                <w:color w:val="102A43"/>
                <w:sz w:val="14"/>
              </w:rPr>
              <w:t>5. Publication</w:t>
            </w:r>
          </w:p>
        </w:tc>
        <w:tc>
          <w:tcPr>
            <w:tcW w:type="dxa" w:w="1354"/>
            <w:shd w:fill="EAF7F9"/>
            <w:tcBorders>
              <w:top w:sz="4" w:val="single" w:color="CFE1E8"/>
              <w:left w:sz="4" w:val="single" w:color="CFE1E8"/>
              <w:bottom w:sz="4" w:val="single" w:color="CFE1E8"/>
              <w:right w:sz="4" w:val="single" w:color="CFE1E8"/>
            </w:tcBorders>
            <w:tcMar>
              <w:top w:w="50" w:type="dxa"/>
              <w:start w:w="35" w:type="dxa"/>
              <w:bottom w:w="50" w:type="dxa"/>
              <w:end w:w="35" w:type="dxa"/>
            </w:tcMar>
          </w:tcPr>
          <w:p>
            <w:pPr>
              <w:jc w:val="center"/>
            </w:pPr>
            <w:r>
              <w:rPr>
                <w:rFonts w:ascii="Aptos" w:hAnsi="Aptos"/>
                <w:b/>
                <w:color w:val="102A43"/>
                <w:sz w:val="14"/>
              </w:rPr>
              <w:t>6. Revue périodique</w:t>
            </w:r>
          </w:p>
        </w:tc>
        <w:tc>
          <w:tcPr>
            <w:tcW w:type="dxa" w:w="1354"/>
            <w:shd w:fill="EAF7F9"/>
            <w:tcBorders>
              <w:top w:sz="4" w:val="single" w:color="CFE1E8"/>
              <w:left w:sz="4" w:val="single" w:color="CFE1E8"/>
              <w:bottom w:sz="4" w:val="single" w:color="CFE1E8"/>
              <w:right w:sz="4" w:val="single" w:color="CFE1E8"/>
            </w:tcBorders>
            <w:tcMar>
              <w:top w:w="50" w:type="dxa"/>
              <w:start w:w="35" w:type="dxa"/>
              <w:bottom w:w="50" w:type="dxa"/>
              <w:end w:w="35" w:type="dxa"/>
            </w:tcMar>
          </w:tcPr>
          <w:p>
            <w:pPr>
              <w:jc w:val="center"/>
            </w:pPr>
            <w:r>
              <w:rPr>
                <w:rFonts w:ascii="Aptos" w:hAnsi="Aptos"/>
                <w:b/>
                <w:color w:val="102A43"/>
                <w:sz w:val="14"/>
              </w:rPr>
              <w:t>7. Archivage</w:t>
            </w:r>
          </w:p>
        </w:tc>
      </w:tr>
    </w:tbl>
    <w:p>
      <w:pPr>
        <w:keepNext/>
        <w:spacing w:before="140" w:after="40" w:line="257" w:lineRule="auto"/>
      </w:pPr>
      <w:r>
        <w:rPr>
          <w:rFonts w:ascii="Aptos" w:hAnsi="Aptos"/>
          <w:b/>
          <w:i w:val="0"/>
          <w:color w:val="102A43"/>
          <w:sz w:val="22"/>
        </w:rPr>
        <w:t>Métadonnées conservées pour chaque recommandation</w:t>
      </w:r>
    </w:p>
    <w:p>
      <w:pPr>
        <w:pStyle w:val="ListBullet"/>
        <w:spacing w:after="40" w:line="250" w:lineRule="auto"/>
        <w:ind w:left="317" w:hanging="216"/>
      </w:pPr>
      <w:r>
        <w:rPr>
          <w:rFonts w:ascii="Aptos" w:hAnsi="Aptos"/>
          <w:color w:val="102A43"/>
          <w:sz w:val="19"/>
        </w:rPr>
        <w:t>intitulé et organisme source ;</w:t>
      </w:r>
    </w:p>
    <w:p>
      <w:pPr>
        <w:pStyle w:val="ListBullet"/>
        <w:spacing w:after="40" w:line="250" w:lineRule="auto"/>
        <w:ind w:left="317" w:hanging="216"/>
      </w:pPr>
      <w:r>
        <w:rPr>
          <w:rFonts w:ascii="Aptos" w:hAnsi="Aptos"/>
          <w:color w:val="102A43"/>
          <w:sz w:val="19"/>
        </w:rPr>
        <w:t>adresse ou référence du document ;</w:t>
      </w:r>
    </w:p>
    <w:p>
      <w:pPr>
        <w:pStyle w:val="ListBullet"/>
        <w:spacing w:after="40" w:line="250" w:lineRule="auto"/>
        <w:ind w:left="317" w:hanging="216"/>
      </w:pPr>
      <w:r>
        <w:rPr>
          <w:rFonts w:ascii="Aptos" w:hAnsi="Aptos"/>
          <w:color w:val="102A43"/>
          <w:sz w:val="19"/>
        </w:rPr>
        <w:t>date de consultation et date de dernière vérification ;</w:t>
      </w:r>
    </w:p>
    <w:p>
      <w:pPr>
        <w:pStyle w:val="ListBullet"/>
        <w:spacing w:after="40" w:line="250" w:lineRule="auto"/>
        <w:ind w:left="317" w:hanging="216"/>
      </w:pPr>
      <w:r>
        <w:rPr>
          <w:rFonts w:ascii="Aptos" w:hAnsi="Aptos"/>
          <w:color w:val="102A43"/>
          <w:sz w:val="19"/>
        </w:rPr>
        <w:t>risque et module concernés ;</w:t>
      </w:r>
    </w:p>
    <w:p>
      <w:pPr>
        <w:pStyle w:val="ListBullet"/>
        <w:spacing w:after="40" w:line="250" w:lineRule="auto"/>
        <w:ind w:left="317" w:hanging="216"/>
      </w:pPr>
      <w:r>
        <w:rPr>
          <w:rFonts w:ascii="Aptos" w:hAnsi="Aptos"/>
          <w:color w:val="102A43"/>
          <w:sz w:val="19"/>
        </w:rPr>
        <w:t>statut : en cours de validation éditoriale, validé, à réviser ou archivé ;</w:t>
      </w:r>
    </w:p>
    <w:p>
      <w:pPr>
        <w:pStyle w:val="ListBullet"/>
        <w:spacing w:after="40" w:line="250" w:lineRule="auto"/>
        <w:ind w:left="317" w:hanging="216"/>
      </w:pPr>
      <w:r>
        <w:rPr>
          <w:rFonts w:ascii="Aptos" w:hAnsi="Aptos"/>
          <w:color w:val="102A43"/>
          <w:sz w:val="19"/>
        </w:rPr>
        <w:t>personne ou structure ayant effectué la validation.</w:t>
      </w:r>
    </w:p>
    <w:tbl>
      <w:tblPr>
        <w:tblW w:type="auto" w:w="0"/>
        <w:jc w:val="center"/>
        <w:tblLayout w:type="fixed"/>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FF8B2C"/>
                <w:sz w:val="20"/>
              </w:rPr>
              <w:t>Signification de la mention « En cours de validation éditoriale »</w:t>
            </w:r>
          </w:p>
          <w:p>
            <w:pPr>
              <w:spacing w:after="0" w:line="250" w:lineRule="auto"/>
            </w:pPr>
            <w:r>
              <w:rPr>
                <w:rFonts w:ascii="Aptos" w:hAnsi="Aptos"/>
                <w:color w:val="102A43"/>
                <w:sz w:val="19"/>
              </w:rPr>
              <w:t>Ce statut identifie les recommandations dont la formulation ou les quantités doivent encore être confirmées. Elles ne seront pas présentées comme des consignes définitives lors de l'ouverture publique. Les anciennes captures contenant « À valider » correspondent à une version de travail du démonstrateur.</w:t>
            </w:r>
          </w:p>
        </w:tc>
      </w:tr>
    </w:tbl>
    <w:p>
      <w:pPr>
        <w:spacing w:after="20"/>
      </w:pPr>
    </w:p>
    <w:p>
      <w:r>
        <w:br w:type="page"/>
      </w:r>
    </w:p>
    <w:p>
      <w:pPr>
        <w:keepNext/>
        <w:spacing w:after="40"/>
      </w:pPr>
      <w:r>
        <w:rPr>
          <w:rFonts w:ascii="Aptos" w:hAnsi="Aptos"/>
          <w:b/>
          <w:color w:val="008C95"/>
          <w:sz w:val="36"/>
        </w:rPr>
        <w:t xml:space="preserve">3. </w:t>
      </w:r>
      <w:r>
        <w:rPr>
          <w:rFonts w:ascii="Aptos Display" w:hAnsi="Aptos Display"/>
          <w:b/>
          <w:color w:val="102A43"/>
          <w:sz w:val="36"/>
        </w:rPr>
        <w:t>Protection des données, confidentialité et sécurité</w:t>
      </w:r>
    </w:p>
    <w:p>
      <w:pPr>
        <w:keepNext/>
        <w:spacing w:before="0" w:after="140" w:line="257" w:lineRule="auto"/>
      </w:pPr>
      <w:r>
        <w:rPr>
          <w:rFonts w:ascii="Aptos" w:hAnsi="Aptos"/>
          <w:b w:val="0"/>
          <w:i/>
          <w:color w:val="52677A"/>
          <w:sz w:val="20"/>
        </w:rPr>
        <w:t>Un service utilisable sans compte, conçu selon un principe de minimisation des données.</w:t>
      </w:r>
    </w:p>
    <w:p>
      <w:pPr>
        <w:spacing w:after="40"/>
        <w:jc w:val="center"/>
      </w:pPr>
      <w:r>
        <w:drawing>
          <wp:inline xmlns:a="http://schemas.openxmlformats.org/drawingml/2006/main" xmlns:pic="http://schemas.openxmlformats.org/drawingml/2006/picture">
            <wp:extent cx="5989320" cy="327541"/>
            <wp:docPr id="2" name="Picture 2"/>
            <wp:cNvGraphicFramePr>
              <a:graphicFrameLocks noChangeAspect="1"/>
            </wp:cNvGraphicFramePr>
            <a:graphic>
              <a:graphicData uri="http://schemas.openxmlformats.org/drawingml/2006/picture">
                <pic:pic>
                  <pic:nvPicPr>
                    <pic:cNvPr id="0" name="preuve_confidentialite.png"/>
                    <pic:cNvPicPr/>
                  </pic:nvPicPr>
                  <pic:blipFill>
                    <a:blip r:embed="rId12"/>
                    <a:stretch>
                      <a:fillRect/>
                    </a:stretch>
                  </pic:blipFill>
                  <pic:spPr>
                    <a:xfrm>
                      <a:off x="0" y="0"/>
                      <a:ext cx="5989320" cy="327541"/>
                    </a:xfrm>
                    <a:prstGeom prst="rect"/>
                  </pic:spPr>
                </pic:pic>
              </a:graphicData>
            </a:graphic>
          </wp:inline>
        </w:drawing>
      </w:r>
    </w:p>
    <w:p>
      <w:pPr>
        <w:spacing w:after="120"/>
        <w:jc w:val="center"/>
      </w:pPr>
      <w:r>
        <w:rPr>
          <w:rFonts w:ascii="Aptos" w:hAnsi="Aptos"/>
          <w:i/>
          <w:color w:val="52677A"/>
          <w:sz w:val="16"/>
        </w:rPr>
        <w:t>Le prototype informe clairement l’utilisateur que ses réponses restent sur son appareil.</w:t>
      </w:r>
    </w:p>
    <w:p>
      <w:pPr>
        <w:keepNext/>
        <w:spacing w:before="0" w:after="60" w:line="257" w:lineRule="auto"/>
      </w:pPr>
      <w:r>
        <w:rPr>
          <w:rFonts w:ascii="Aptos" w:hAnsi="Aptos"/>
          <w:b/>
          <w:i w:val="0"/>
          <w:color w:val="008C95"/>
          <w:sz w:val="25"/>
        </w:rPr>
        <w:t>Données et traitements prévus</w:t>
      </w:r>
    </w:p>
    <w:tbl>
      <w:tblPr>
        <w:tblW w:type="auto" w:w="0"/>
        <w:jc w:val="center"/>
        <w:tblLayout w:type="fixed"/>
        <w:tblLook w:firstColumn="1" w:firstRow="1" w:lastColumn="0" w:lastRow="0" w:noHBand="0" w:noVBand="1" w:val="04A0"/>
      </w:tblPr>
      <w:tblGrid>
        <w:gridCol w:w="1987"/>
        <w:gridCol w:w="2520"/>
        <w:gridCol w:w="2880"/>
        <w:gridCol w:w="2045"/>
      </w:tblGrid>
      <w:tr>
        <w:tc>
          <w:tcPr>
            <w:tcW w:type="dxa" w:w="2592"/>
            <w:shd w:fill="102A43"/>
            <w:tcMar>
              <w:top w:w="70" w:type="dxa"/>
              <w:start w:w="90" w:type="dxa"/>
              <w:bottom w:w="70" w:type="dxa"/>
              <w:end w:w="90" w:type="dxa"/>
            </w:tcMar>
          </w:tcPr>
          <w:p>
            <w:pPr>
              <w:jc w:val="center"/>
            </w:pPr>
            <w:r>
              <w:rPr>
                <w:rFonts w:ascii="Aptos" w:hAnsi="Aptos"/>
                <w:b/>
                <w:color w:val="FFFFFF"/>
                <w:sz w:val="16"/>
              </w:rPr>
              <w:t>Information</w:t>
            </w:r>
          </w:p>
        </w:tc>
        <w:tc>
          <w:tcPr>
            <w:tcW w:type="dxa" w:w="2592"/>
            <w:shd w:fill="102A43"/>
            <w:tcMar>
              <w:top w:w="70" w:type="dxa"/>
              <w:start w:w="90" w:type="dxa"/>
              <w:bottom w:w="70" w:type="dxa"/>
              <w:end w:w="90" w:type="dxa"/>
            </w:tcMar>
          </w:tcPr>
          <w:p>
            <w:pPr>
              <w:jc w:val="center"/>
            </w:pPr>
            <w:r>
              <w:rPr>
                <w:rFonts w:ascii="Aptos" w:hAnsi="Aptos"/>
                <w:b/>
                <w:color w:val="FFFFFF"/>
                <w:sz w:val="16"/>
              </w:rPr>
              <w:t>Traitement</w:t>
            </w:r>
          </w:p>
        </w:tc>
        <w:tc>
          <w:tcPr>
            <w:tcW w:type="dxa" w:w="2592"/>
            <w:shd w:fill="102A43"/>
            <w:tcMar>
              <w:top w:w="70" w:type="dxa"/>
              <w:start w:w="90" w:type="dxa"/>
              <w:bottom w:w="70" w:type="dxa"/>
              <w:end w:w="90" w:type="dxa"/>
            </w:tcMar>
          </w:tcPr>
          <w:p>
            <w:pPr>
              <w:jc w:val="center"/>
            </w:pPr>
            <w:r>
              <w:rPr>
                <w:rFonts w:ascii="Aptos" w:hAnsi="Aptos"/>
                <w:b/>
                <w:color w:val="FFFFFF"/>
                <w:sz w:val="16"/>
              </w:rPr>
              <w:t>Finalité</w:t>
            </w:r>
          </w:p>
        </w:tc>
        <w:tc>
          <w:tcPr>
            <w:tcW w:type="dxa" w:w="2592"/>
            <w:shd w:fill="102A43"/>
            <w:tcMar>
              <w:top w:w="70" w:type="dxa"/>
              <w:start w:w="90" w:type="dxa"/>
              <w:bottom w:w="70" w:type="dxa"/>
              <w:end w:w="90" w:type="dxa"/>
            </w:tcMar>
          </w:tcPr>
          <w:p>
            <w:pPr>
              <w:jc w:val="center"/>
            </w:pPr>
            <w:r>
              <w:rPr>
                <w:rFonts w:ascii="Aptos" w:hAnsi="Aptos"/>
                <w:b/>
                <w:color w:val="FFFFFF"/>
                <w:sz w:val="16"/>
              </w:rPr>
              <w:t>Contrôle utilisateur</w:t>
            </w:r>
          </w:p>
        </w:tc>
      </w:tr>
      <w:tr>
        <w:tc>
          <w:tcPr>
            <w:tcW w:type="dxa" w:w="1987"/>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color w:val="102A43"/>
                <w:sz w:val="15"/>
              </w:rPr>
              <w:t>Réponses au diagnostic</w:t>
            </w:r>
          </w:p>
        </w:tc>
        <w:tc>
          <w:tcPr>
            <w:tcW w:type="dxa" w:w="252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Stockage local dans le navigateur</w:t>
            </w:r>
          </w:p>
        </w:tc>
        <w:tc>
          <w:tcPr>
            <w:tcW w:type="dxa" w:w="288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Personnaliser le score et le plan d’actions</w:t>
            </w:r>
          </w:p>
        </w:tc>
        <w:tc>
          <w:tcPr>
            <w:tcW w:type="dxa" w:w="2045"/>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Effacement par l’utilisateur</w:t>
            </w:r>
          </w:p>
        </w:tc>
      </w:tr>
      <w:tr>
        <w:tc>
          <w:tcPr>
            <w:tcW w:type="dxa" w:w="1987"/>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color w:val="102A43"/>
                <w:sz w:val="15"/>
              </w:rPr>
              <w:t>Checklist et actions personnelles</w:t>
            </w:r>
          </w:p>
        </w:tc>
        <w:tc>
          <w:tcPr>
            <w:tcW w:type="dxa" w:w="252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Stockage local dans le navigateur</w:t>
            </w:r>
          </w:p>
        </w:tc>
        <w:tc>
          <w:tcPr>
            <w:tcW w:type="dxa" w:w="288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Suivre la préparation du foyer</w:t>
            </w:r>
          </w:p>
        </w:tc>
        <w:tc>
          <w:tcPr>
            <w:tcW w:type="dxa" w:w="2045"/>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Modification et suppression libres</w:t>
            </w:r>
          </w:p>
        </w:tc>
      </w:tr>
      <w:tr>
        <w:tc>
          <w:tcPr>
            <w:tcW w:type="dxa" w:w="1987"/>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color w:val="102A43"/>
                <w:sz w:val="15"/>
              </w:rPr>
              <w:t>Composition du foyer</w:t>
            </w:r>
          </w:p>
        </w:tc>
        <w:tc>
          <w:tcPr>
            <w:tcW w:type="dxa" w:w="252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Valeurs numériques non nominatives</w:t>
            </w:r>
          </w:p>
        </w:tc>
        <w:tc>
          <w:tcPr>
            <w:tcW w:type="dxa" w:w="288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Adapter le kit d’urgence</w:t>
            </w:r>
          </w:p>
        </w:tc>
        <w:tc>
          <w:tcPr>
            <w:tcW w:type="dxa" w:w="2045"/>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Aucune transmission nécessaire</w:t>
            </w:r>
          </w:p>
        </w:tc>
      </w:tr>
      <w:tr>
        <w:tc>
          <w:tcPr>
            <w:tcW w:type="dxa" w:w="1987"/>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color w:val="102A43"/>
                <w:sz w:val="15"/>
              </w:rPr>
              <w:t>Prénom ou pseudonyme sur attestation</w:t>
            </w:r>
          </w:p>
        </w:tc>
        <w:tc>
          <w:tcPr>
            <w:tcW w:type="dxa" w:w="252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Facultatif, utilisé au moment de l’export</w:t>
            </w:r>
          </w:p>
        </w:tc>
        <w:tc>
          <w:tcPr>
            <w:tcW w:type="dxa" w:w="288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Personnaliser l'attestation</w:t>
            </w:r>
          </w:p>
        </w:tc>
        <w:tc>
          <w:tcPr>
            <w:tcW w:type="dxa" w:w="2045"/>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Non conservé par défaut</w:t>
            </w:r>
          </w:p>
        </w:tc>
      </w:tr>
      <w:tr>
        <w:tc>
          <w:tcPr>
            <w:tcW w:type="dxa" w:w="1987"/>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color w:val="102A43"/>
                <w:sz w:val="15"/>
              </w:rPr>
              <w:t>Statistiques d’usage</w:t>
            </w:r>
          </w:p>
        </w:tc>
        <w:tc>
          <w:tcPr>
            <w:tcW w:type="dxa" w:w="252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Agrégées et non destinées au profilage</w:t>
            </w:r>
          </w:p>
        </w:tc>
        <w:tc>
          <w:tcPr>
            <w:tcW w:type="dxa" w:w="2880"/>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Mesurer l’impact du projet</w:t>
            </w:r>
          </w:p>
        </w:tc>
        <w:tc>
          <w:tcPr>
            <w:tcW w:type="dxa" w:w="2045"/>
            <w:tcBorders>
              <w:top w:sz="4" w:val="single" w:color="CFE1E8"/>
              <w:left w:sz="4" w:val="single" w:color="CFE1E8"/>
              <w:bottom w:sz="4" w:val="single" w:color="CFE1E8"/>
              <w:right w:sz="4" w:val="single" w:color="CFE1E8"/>
            </w:tcBorders>
            <w:tcMar>
              <w:top w:w="55" w:type="dxa"/>
              <w:start w:w="65" w:type="dxa"/>
              <w:bottom w:w="55" w:type="dxa"/>
              <w:end w:w="65" w:type="dxa"/>
            </w:tcMar>
          </w:tcPr>
          <w:p>
            <w:r>
              <w:rPr>
                <w:rFonts w:ascii="Aptos" w:hAnsi="Aptos"/>
                <w:b w:val="0"/>
                <w:color w:val="102A43"/>
                <w:sz w:val="15"/>
              </w:rPr>
              <w:t>Durée de conservation limitée</w:t>
            </w:r>
          </w:p>
        </w:tc>
      </w:tr>
    </w:tbl>
    <w:p>
      <w:pPr>
        <w:keepNext/>
        <w:spacing w:before="140" w:after="40" w:line="257" w:lineRule="auto"/>
      </w:pPr>
      <w:r>
        <w:rPr>
          <w:rFonts w:ascii="Aptos" w:hAnsi="Aptos"/>
          <w:b/>
          <w:i w:val="0"/>
          <w:color w:val="008C95"/>
          <w:sz w:val="23"/>
        </w:rPr>
        <w:t>Mesures techniques et organisationnelles</w:t>
      </w:r>
    </w:p>
    <w:p>
      <w:pPr>
        <w:pStyle w:val="ListBullet"/>
        <w:spacing w:after="40" w:line="250" w:lineRule="auto"/>
        <w:ind w:left="317" w:hanging="216"/>
      </w:pPr>
      <w:r>
        <w:rPr>
          <w:rFonts w:ascii="Aptos" w:hAnsi="Aptos"/>
          <w:color w:val="102A43"/>
          <w:sz w:val="19"/>
        </w:rPr>
        <w:t>hébergement en HTTPS et absence de clé secrète dans le navigateur ;</w:t>
      </w:r>
    </w:p>
    <w:p>
      <w:pPr>
        <w:pStyle w:val="ListBullet"/>
        <w:spacing w:after="40" w:line="250" w:lineRule="auto"/>
        <w:ind w:left="317" w:hanging="216"/>
      </w:pPr>
      <w:r>
        <w:rPr>
          <w:rFonts w:ascii="Aptos" w:hAnsi="Aptos"/>
          <w:color w:val="102A43"/>
          <w:sz w:val="19"/>
        </w:rPr>
        <w:t>validation des données saisies et limitation des champs libres ;</w:t>
      </w:r>
    </w:p>
    <w:p>
      <w:pPr>
        <w:pStyle w:val="ListBullet"/>
        <w:spacing w:after="40" w:line="250" w:lineRule="auto"/>
        <w:ind w:left="317" w:hanging="216"/>
      </w:pPr>
      <w:r>
        <w:rPr>
          <w:rFonts w:ascii="Aptos" w:hAnsi="Aptos"/>
          <w:color w:val="102A43"/>
          <w:sz w:val="19"/>
        </w:rPr>
        <w:t>accès d’administration protégé et journalisation des modifications éditoriales ;</w:t>
      </w:r>
    </w:p>
    <w:p>
      <w:pPr>
        <w:pStyle w:val="ListBullet"/>
        <w:spacing w:after="40" w:line="250" w:lineRule="auto"/>
        <w:ind w:left="317" w:hanging="216"/>
      </w:pPr>
      <w:r>
        <w:rPr>
          <w:rFonts w:ascii="Aptos" w:hAnsi="Aptos"/>
          <w:color w:val="102A43"/>
          <w:sz w:val="19"/>
        </w:rPr>
        <w:t>dépendances mises à jour et vérification des vulnérabilités critiques ;</w:t>
      </w:r>
    </w:p>
    <w:p>
      <w:pPr>
        <w:pStyle w:val="ListBullet"/>
        <w:spacing w:after="40" w:line="250" w:lineRule="auto"/>
        <w:ind w:left="317" w:hanging="216"/>
      </w:pPr>
      <w:r>
        <w:rPr>
          <w:rFonts w:ascii="Aptos" w:hAnsi="Aptos"/>
          <w:color w:val="102A43"/>
          <w:sz w:val="19"/>
        </w:rPr>
        <w:t>statistiques agrégées sans géolocalisation fine ni profilage publicitaire ;</w:t>
      </w:r>
    </w:p>
    <w:p>
      <w:pPr>
        <w:pStyle w:val="ListBullet"/>
        <w:spacing w:after="40" w:line="250" w:lineRule="auto"/>
        <w:ind w:left="317" w:hanging="216"/>
      </w:pPr>
      <w:r>
        <w:rPr>
          <w:rFonts w:ascii="Aptos" w:hAnsi="Aptos"/>
          <w:color w:val="102A43"/>
          <w:sz w:val="19"/>
        </w:rPr>
        <w:t>possibilité d’effacer immédiatement les données locales.</w:t>
      </w:r>
    </w:p>
    <w:p>
      <w:pPr>
        <w:spacing w:after="40"/>
        <w:jc w:val="center"/>
      </w:pPr>
      <w:r>
        <w:drawing>
          <wp:inline xmlns:a="http://schemas.openxmlformats.org/drawingml/2006/main" xmlns:pic="http://schemas.openxmlformats.org/drawingml/2006/picture">
            <wp:extent cx="5852160" cy="1143000"/>
            <wp:docPr id="3" name="Picture 3"/>
            <wp:cNvGraphicFramePr>
              <a:graphicFrameLocks noChangeAspect="1"/>
            </wp:cNvGraphicFramePr>
            <a:graphic>
              <a:graphicData uri="http://schemas.openxmlformats.org/drawingml/2006/picture">
                <pic:pic>
                  <pic:nvPicPr>
                    <pic:cNvPr id="0" name="preuve_effacement_limites.png"/>
                    <pic:cNvPicPr/>
                  </pic:nvPicPr>
                  <pic:blipFill>
                    <a:blip r:embed="rId13"/>
                    <a:stretch>
                      <a:fillRect/>
                    </a:stretch>
                  </pic:blipFill>
                  <pic:spPr>
                    <a:xfrm>
                      <a:off x="0" y="0"/>
                      <a:ext cx="5852160" cy="1143000"/>
                    </a:xfrm>
                    <a:prstGeom prst="rect"/>
                  </pic:spPr>
                </pic:pic>
              </a:graphicData>
            </a:graphic>
          </wp:inline>
        </w:drawing>
      </w:r>
    </w:p>
    <w:p>
      <w:pPr>
        <w:spacing w:after="120"/>
        <w:jc w:val="center"/>
      </w:pPr>
      <w:r>
        <w:rPr>
          <w:rFonts w:ascii="Aptos" w:hAnsi="Aptos"/>
          <w:i/>
          <w:color w:val="52677A"/>
          <w:sz w:val="16"/>
        </w:rPr>
        <w:t>Avertissement sur les limites du service et commande d’effacement des données locales.</w:t>
      </w:r>
    </w:p>
    <w:p>
      <w:r>
        <w:br w:type="page"/>
      </w:r>
    </w:p>
    <w:p>
      <w:pPr>
        <w:keepNext/>
        <w:spacing w:after="40"/>
      </w:pPr>
      <w:r>
        <w:rPr>
          <w:rFonts w:ascii="Aptos" w:hAnsi="Aptos"/>
          <w:b/>
          <w:color w:val="008C95"/>
          <w:sz w:val="36"/>
        </w:rPr>
        <w:t xml:space="preserve">4. </w:t>
      </w:r>
      <w:r>
        <w:rPr>
          <w:rFonts w:ascii="Aptos Display" w:hAnsi="Aptos Display"/>
          <w:b/>
          <w:color w:val="102A43"/>
          <w:sz w:val="36"/>
        </w:rPr>
        <w:t>Accessibilité, inclusion et sobriété numérique</w:t>
      </w:r>
    </w:p>
    <w:p>
      <w:pPr>
        <w:keepNext/>
        <w:spacing w:before="0" w:after="140" w:line="257" w:lineRule="auto"/>
      </w:pPr>
      <w:r>
        <w:rPr>
          <w:rFonts w:ascii="Aptos" w:hAnsi="Aptos"/>
          <w:b w:val="0"/>
          <w:i/>
          <w:color w:val="52677A"/>
          <w:sz w:val="20"/>
        </w:rPr>
        <w:t>Le service doit rester compréhensible et utilisable sur smartphone, y compris dans des conditions d’accès contraintes.</w:t>
      </w:r>
    </w:p>
    <w:p>
      <w:pPr>
        <w:spacing w:after="40"/>
        <w:jc w:val="center"/>
      </w:pPr>
      <w:r>
        <w:drawing>
          <wp:inline xmlns:a="http://schemas.openxmlformats.org/drawingml/2006/main" xmlns:pic="http://schemas.openxmlformats.org/drawingml/2006/picture">
            <wp:extent cx="5806440" cy="2463338"/>
            <wp:docPr id="4" name="Picture 4"/>
            <wp:cNvGraphicFramePr>
              <a:graphicFrameLocks noChangeAspect="1"/>
            </wp:cNvGraphicFramePr>
            <a:graphic>
              <a:graphicData uri="http://schemas.openxmlformats.org/drawingml/2006/picture">
                <pic:pic>
                  <pic:nvPicPr>
                    <pic:cNvPr id="0" name="preuve_accessibilite.png"/>
                    <pic:cNvPicPr/>
                  </pic:nvPicPr>
                  <pic:blipFill>
                    <a:blip r:embed="rId14"/>
                    <a:stretch>
                      <a:fillRect/>
                    </a:stretch>
                  </pic:blipFill>
                  <pic:spPr>
                    <a:xfrm>
                      <a:off x="0" y="0"/>
                      <a:ext cx="5806440" cy="2463338"/>
                    </a:xfrm>
                    <a:prstGeom prst="rect"/>
                  </pic:spPr>
                </pic:pic>
              </a:graphicData>
            </a:graphic>
          </wp:inline>
        </w:drawing>
      </w:r>
    </w:p>
    <w:p>
      <w:pPr>
        <w:spacing w:after="120"/>
        <w:jc w:val="center"/>
      </w:pPr>
      <w:r>
        <w:rPr>
          <w:rFonts w:ascii="Aptos" w:hAnsi="Aptos"/>
          <w:i/>
          <w:color w:val="52677A"/>
          <w:sz w:val="16"/>
        </w:rPr>
        <w:t>Questions courtes, choix distincts et progression visible dans le diagnostic.</w:t>
      </w:r>
    </w:p>
    <w:tbl>
      <w:tblPr>
        <w:tblW w:type="auto" w:w="0"/>
        <w:jc w:val="center"/>
        <w:tblLayout w:type="fixed"/>
        <w:tblLook w:firstColumn="1" w:firstRow="1" w:lastColumn="0" w:lastRow="0" w:noHBand="0" w:noVBand="1" w:val="04A0"/>
      </w:tblPr>
      <w:tblGrid>
        <w:gridCol w:w="1944"/>
        <w:gridCol w:w="7560"/>
      </w:tblGrid>
      <w:tr>
        <w:tc>
          <w:tcPr>
            <w:tcW w:type="dxa" w:w="1944"/>
            <w:tcBorders>
              <w:bottom w:sz="4" w:val="single" w:color="CFE1E8"/>
            </w:tcBorders>
            <w:tcMar>
              <w:top w:w="45" w:type="dxa"/>
              <w:start w:w="55" w:type="dxa"/>
              <w:bottom w:w="45" w:type="dxa"/>
              <w:end w:w="55" w:type="dxa"/>
            </w:tcMar>
          </w:tcPr>
          <w:p>
            <w:r>
              <w:rPr>
                <w:rFonts w:ascii="Aptos" w:hAnsi="Aptos"/>
                <w:b/>
                <w:color w:val="008C95"/>
                <w:sz w:val="17"/>
              </w:rPr>
              <w:t>Navigation</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Parcours cohérent, titres structurés, ordre de tabulation logique et focus visible.</w:t>
            </w:r>
          </w:p>
        </w:tc>
      </w:tr>
      <w:tr>
        <w:tc>
          <w:tcPr>
            <w:tcW w:type="dxa" w:w="1944"/>
            <w:tcBorders>
              <w:bottom w:sz="4" w:val="single" w:color="CFE1E8"/>
            </w:tcBorders>
            <w:tcMar>
              <w:top w:w="45" w:type="dxa"/>
              <w:start w:w="55" w:type="dxa"/>
              <w:bottom w:w="45" w:type="dxa"/>
              <w:end w:w="55" w:type="dxa"/>
            </w:tcMar>
          </w:tcPr>
          <w:p>
            <w:r>
              <w:rPr>
                <w:rFonts w:ascii="Aptos" w:hAnsi="Aptos"/>
                <w:b/>
                <w:color w:val="008C95"/>
                <w:sz w:val="17"/>
              </w:rPr>
              <w:t>Lisibilité</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Contrastes suffisants, taille de texte adaptable, phrases courtes et vocabulaire non technique.</w:t>
            </w:r>
          </w:p>
        </w:tc>
      </w:tr>
      <w:tr>
        <w:tc>
          <w:tcPr>
            <w:tcW w:type="dxa" w:w="1944"/>
            <w:tcBorders>
              <w:bottom w:sz="4" w:val="single" w:color="CFE1E8"/>
            </w:tcBorders>
            <w:tcMar>
              <w:top w:w="45" w:type="dxa"/>
              <w:start w:w="55" w:type="dxa"/>
              <w:bottom w:w="45" w:type="dxa"/>
              <w:end w:w="55" w:type="dxa"/>
            </w:tcMar>
          </w:tcPr>
          <w:p>
            <w:r>
              <w:rPr>
                <w:rFonts w:ascii="Aptos" w:hAnsi="Aptos"/>
                <w:b/>
                <w:color w:val="008C95"/>
                <w:sz w:val="17"/>
              </w:rPr>
              <w:t>Interaction</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Zones cliquables larges, libellés explicites, absence d’information transmise uniquement par la couleur.</w:t>
            </w:r>
          </w:p>
        </w:tc>
      </w:tr>
      <w:tr>
        <w:tc>
          <w:tcPr>
            <w:tcW w:type="dxa" w:w="1944"/>
            <w:tcBorders>
              <w:bottom w:sz="4" w:val="single" w:color="CFE1E8"/>
            </w:tcBorders>
            <w:tcMar>
              <w:top w:w="45" w:type="dxa"/>
              <w:start w:w="55" w:type="dxa"/>
              <w:bottom w:w="45" w:type="dxa"/>
              <w:end w:w="55" w:type="dxa"/>
            </w:tcMar>
          </w:tcPr>
          <w:p>
            <w:r>
              <w:rPr>
                <w:rFonts w:ascii="Aptos" w:hAnsi="Aptos"/>
                <w:b/>
                <w:color w:val="008C95"/>
                <w:sz w:val="17"/>
              </w:rPr>
              <w:t>Images et médias</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Textes alternatifs, sous-titres ou transcription pour les vidéos et absence de lecture automatique imposée.</w:t>
            </w:r>
          </w:p>
        </w:tc>
      </w:tr>
      <w:tr>
        <w:tc>
          <w:tcPr>
            <w:tcW w:type="dxa" w:w="1944"/>
            <w:tcBorders>
              <w:bottom w:sz="4" w:val="single" w:color="CFE1E8"/>
            </w:tcBorders>
            <w:tcMar>
              <w:top w:w="45" w:type="dxa"/>
              <w:start w:w="55" w:type="dxa"/>
              <w:bottom w:w="45" w:type="dxa"/>
              <w:end w:w="55" w:type="dxa"/>
            </w:tcMar>
          </w:tcPr>
          <w:p>
            <w:r>
              <w:rPr>
                <w:rFonts w:ascii="Aptos" w:hAnsi="Aptos"/>
                <w:b/>
                <w:color w:val="008C95"/>
                <w:sz w:val="17"/>
              </w:rPr>
              <w:t>Documents</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Checklists et plans imprimables, mise en page lisible en noir et blanc et sur petit écran.</w:t>
            </w:r>
          </w:p>
        </w:tc>
      </w:tr>
      <w:tr>
        <w:tc>
          <w:tcPr>
            <w:tcW w:type="dxa" w:w="1944"/>
            <w:tcBorders>
              <w:bottom w:sz="4" w:val="single" w:color="CFE1E8"/>
            </w:tcBorders>
            <w:tcMar>
              <w:top w:w="45" w:type="dxa"/>
              <w:start w:w="55" w:type="dxa"/>
              <w:bottom w:w="45" w:type="dxa"/>
              <w:end w:w="55" w:type="dxa"/>
            </w:tcMar>
          </w:tcPr>
          <w:p>
            <w:r>
              <w:rPr>
                <w:rFonts w:ascii="Aptos" w:hAnsi="Aptos"/>
                <w:b/>
                <w:color w:val="008C95"/>
                <w:sz w:val="17"/>
              </w:rPr>
              <w:t>Connexion limitée</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Pages légères, chargement différé des médias et fonctionnement du cœur du parcours sans vidéo.</w:t>
            </w:r>
          </w:p>
        </w:tc>
      </w:tr>
      <w:tr>
        <w:tc>
          <w:tcPr>
            <w:tcW w:type="dxa" w:w="1944"/>
            <w:tcBorders>
              <w:bottom w:sz="4" w:val="single" w:color="CFE1E8"/>
            </w:tcBorders>
            <w:tcMar>
              <w:top w:w="45" w:type="dxa"/>
              <w:start w:w="55" w:type="dxa"/>
              <w:bottom w:w="45" w:type="dxa"/>
              <w:end w:w="55" w:type="dxa"/>
            </w:tcMar>
          </w:tcPr>
          <w:p>
            <w:r>
              <w:rPr>
                <w:rFonts w:ascii="Aptos" w:hAnsi="Aptos"/>
                <w:b/>
                <w:color w:val="008C95"/>
                <w:sz w:val="17"/>
              </w:rPr>
              <w:t>Publics spécifiques</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Prise en compte des enfants, personnes âgées, personnes isolées, animaux et besoins particuliers.</w:t>
            </w:r>
          </w:p>
        </w:tc>
      </w:tr>
      <w:tr>
        <w:tc>
          <w:tcPr>
            <w:tcW w:type="dxa" w:w="1944"/>
            <w:tcBorders>
              <w:bottom w:sz="4" w:val="single" w:color="CFE1E8"/>
            </w:tcBorders>
            <w:tcMar>
              <w:top w:w="45" w:type="dxa"/>
              <w:start w:w="55" w:type="dxa"/>
              <w:bottom w:w="45" w:type="dxa"/>
              <w:end w:w="55" w:type="dxa"/>
            </w:tcMar>
          </w:tcPr>
          <w:p>
            <w:r>
              <w:rPr>
                <w:rFonts w:ascii="Aptos" w:hAnsi="Aptos"/>
                <w:b/>
                <w:color w:val="008C95"/>
                <w:sz w:val="17"/>
              </w:rPr>
              <w:t>Langues</w:t>
            </w:r>
          </w:p>
        </w:tc>
        <w:tc>
          <w:tcPr>
            <w:tcW w:type="dxa" w:w="7560"/>
            <w:tcBorders>
              <w:bottom w:sz="4" w:val="single" w:color="CFE1E8"/>
            </w:tcBorders>
            <w:tcMar>
              <w:top w:w="45" w:type="dxa"/>
              <w:start w:w="55" w:type="dxa"/>
              <w:bottom w:w="45" w:type="dxa"/>
              <w:end w:w="55" w:type="dxa"/>
            </w:tcMar>
          </w:tcPr>
          <w:p>
            <w:r>
              <w:rPr>
                <w:rFonts w:ascii="Aptos" w:hAnsi="Aptos"/>
                <w:color w:val="102A43"/>
                <w:sz w:val="16"/>
              </w:rPr>
              <w:t>Français de référence ; traductions locales uniquement avec un partenaire et une validation linguistique.</w:t>
            </w:r>
          </w:p>
        </w:tc>
      </w:tr>
    </w:tbl>
    <w:p>
      <w:pPr>
        <w:keepNext/>
        <w:spacing w:before="140" w:after="40" w:line="257" w:lineRule="auto"/>
      </w:pPr>
      <w:r>
        <w:rPr>
          <w:rFonts w:ascii="Aptos" w:hAnsi="Aptos"/>
          <w:b/>
          <w:i w:val="0"/>
          <w:color w:val="008C95"/>
          <w:sz w:val="23"/>
        </w:rPr>
        <w:t>Contrôles prévus avant ouverture publique</w:t>
      </w:r>
    </w:p>
    <w:p>
      <w:pPr>
        <w:pStyle w:val="ListBullet"/>
        <w:spacing w:after="40" w:line="250" w:lineRule="auto"/>
        <w:ind w:left="317" w:hanging="216"/>
      </w:pPr>
      <w:r>
        <w:rPr>
          <w:rFonts w:ascii="Aptos" w:hAnsi="Aptos"/>
          <w:color w:val="102A43"/>
          <w:sz w:val="19"/>
        </w:rPr>
        <w:t>navigation complète au clavier ;</w:t>
      </w:r>
    </w:p>
    <w:p>
      <w:pPr>
        <w:pStyle w:val="ListBullet"/>
        <w:spacing w:after="40" w:line="250" w:lineRule="auto"/>
        <w:ind w:left="317" w:hanging="216"/>
      </w:pPr>
      <w:r>
        <w:rPr>
          <w:rFonts w:ascii="Aptos" w:hAnsi="Aptos"/>
          <w:color w:val="102A43"/>
          <w:sz w:val="19"/>
        </w:rPr>
        <w:t>vérification automatique des erreurs courantes d’accessibilité ;</w:t>
      </w:r>
    </w:p>
    <w:p>
      <w:pPr>
        <w:pStyle w:val="ListBullet"/>
        <w:spacing w:after="40" w:line="250" w:lineRule="auto"/>
        <w:ind w:left="317" w:hanging="216"/>
      </w:pPr>
      <w:r>
        <w:rPr>
          <w:rFonts w:ascii="Aptos" w:hAnsi="Aptos"/>
          <w:color w:val="102A43"/>
          <w:sz w:val="19"/>
        </w:rPr>
        <w:t>contrôle manuel des contrastes, libellés, messages d’erreur et zoom ;</w:t>
      </w:r>
    </w:p>
    <w:p>
      <w:pPr>
        <w:pStyle w:val="ListBullet"/>
        <w:spacing w:after="40" w:line="250" w:lineRule="auto"/>
        <w:ind w:left="317" w:hanging="216"/>
      </w:pPr>
      <w:r>
        <w:rPr>
          <w:rFonts w:ascii="Aptos" w:hAnsi="Aptos"/>
          <w:color w:val="102A43"/>
          <w:sz w:val="19"/>
        </w:rPr>
        <w:t>test sur plusieurs tailles de smartphone et navigateurs courants ;</w:t>
      </w:r>
    </w:p>
    <w:p>
      <w:pPr>
        <w:pStyle w:val="ListBullet"/>
        <w:spacing w:after="40" w:line="250" w:lineRule="auto"/>
        <w:ind w:left="317" w:hanging="216"/>
      </w:pPr>
      <w:r>
        <w:rPr>
          <w:rFonts w:ascii="Aptos" w:hAnsi="Aptos"/>
          <w:color w:val="102A43"/>
          <w:sz w:val="19"/>
        </w:rPr>
        <w:t>test de lecture des principaux écrans avec un lecteur d’écran ;</w:t>
      </w:r>
    </w:p>
    <w:p>
      <w:pPr>
        <w:pStyle w:val="ListBullet"/>
        <w:spacing w:after="40" w:line="250" w:lineRule="auto"/>
        <w:ind w:left="317" w:hanging="216"/>
      </w:pPr>
      <w:r>
        <w:rPr>
          <w:rFonts w:ascii="Aptos" w:hAnsi="Aptos"/>
          <w:color w:val="102A43"/>
          <w:sz w:val="19"/>
        </w:rPr>
        <w:t>correction des anomalies bloquantes avant la mise en ligne officielle.</w:t>
      </w:r>
    </w:p>
    <w:tbl>
      <w:tblPr>
        <w:tblW w:type="auto" w:w="0"/>
        <w:jc w:val="center"/>
        <w:tblLayout w:type="fixed"/>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FF8B2C"/>
                <w:sz w:val="20"/>
              </w:rPr>
              <w:t>Position de conformité</w:t>
            </w:r>
          </w:p>
          <w:p>
            <w:pPr>
              <w:spacing w:after="0" w:line="250" w:lineRule="auto"/>
            </w:pPr>
            <w:r>
              <w:rPr>
                <w:rFonts w:ascii="Aptos" w:hAnsi="Aptos"/>
                <w:color w:val="102A43"/>
                <w:sz w:val="19"/>
              </w:rPr>
              <w:t>GT SAS vise une accessibilité fonctionnelle élevée mais ne revendiquera aucune conformité réglementaire formelle sans audit dédié. Le sélecteur de langue sera masqué tant qu'aucune traduction validée n'est disponible. Les éventuelles limites restantes seront documentées dans la déclaration d’accessibilité du site.</w:t>
            </w:r>
          </w:p>
        </w:tc>
      </w:tr>
    </w:tbl>
    <w:p>
      <w:pPr>
        <w:spacing w:after="20"/>
      </w:pPr>
    </w:p>
    <w:p>
      <w:r/>
    </w:p>
    <w:p>
      <w:pPr>
        <w:keepNext/>
        <w:spacing w:after="40"/>
      </w:pPr>
      <w:r>
        <w:rPr>
          <w:rFonts w:ascii="Aptos" w:hAnsi="Aptos"/>
          <w:b/>
          <w:color w:val="008C95"/>
          <w:sz w:val="36"/>
        </w:rPr>
        <w:t xml:space="preserve">5. </w:t>
      </w:r>
      <w:r>
        <w:rPr>
          <w:rFonts w:ascii="Aptos Display" w:hAnsi="Aptos Display"/>
          <w:b/>
          <w:color w:val="102A43"/>
          <w:sz w:val="36"/>
        </w:rPr>
        <w:t>Gouvernance de l’assistant IA</w:t>
      </w:r>
    </w:p>
    <w:p>
      <w:pPr>
        <w:keepNext/>
        <w:spacing w:before="0" w:after="140" w:line="257" w:lineRule="auto"/>
      </w:pPr>
      <w:r>
        <w:rPr>
          <w:rFonts w:ascii="Aptos" w:hAnsi="Aptos"/>
          <w:b w:val="0"/>
          <w:i/>
          <w:color w:val="52677A"/>
          <w:sz w:val="20"/>
        </w:rPr>
        <w:t>Un assistant documentaire prévu et encadré, limité aux informations validées et distinct des dispositifs d'alerte.</w:t>
      </w:r>
    </w:p>
    <w:tbl>
      <w:tblPr>
        <w:tblW w:type="auto" w:w="0"/>
        <w:jc w:val="center"/>
        <w:tblLayout w:type="fixed"/>
        <w:tblLook w:firstColumn="1" w:firstRow="1" w:lastColumn="0" w:lastRow="0" w:noHBand="0" w:noVBand="1" w:val="04A0"/>
      </w:tblPr>
      <w:tblGrid>
        <w:gridCol w:w="173"/>
        <w:gridCol w:w="9288"/>
      </w:tblGrid>
      <w:tr>
        <w:tc>
          <w:tcPr>
            <w:tcW w:type="dxa" w:w="5184"/>
            <w:shd w:fill="FF8B2C"/>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FF1D6"/>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FF8B2C"/>
                <w:sz w:val="20"/>
              </w:rPr>
              <w:t>Statut du module</w:t>
            </w:r>
          </w:p>
          <w:p>
            <w:pPr>
              <w:spacing w:after="0" w:line="250" w:lineRule="auto"/>
            </w:pPr>
            <w:r>
              <w:rPr>
                <w:rFonts w:ascii="Aptos" w:hAnsi="Aptos"/>
                <w:color w:val="102A43"/>
                <w:sz w:val="19"/>
              </w:rPr>
              <w:t>L'assistant documentaire assisté par IA fait partie du périmètre fonctionnel prévu. Son activation publique interviendra uniquement après constitution du corpus validé, définition des règles de refus et réalisation de tests de sécurité éditoriale.</w:t>
            </w:r>
          </w:p>
        </w:tc>
      </w:tr>
    </w:tbl>
    <w:p>
      <w:pPr>
        <w:spacing w:after="20"/>
      </w:pPr>
    </w:p>
    <w:p>
      <w:pPr>
        <w:keepNext/>
        <w:spacing w:before="0" w:after="60" w:line="257" w:lineRule="auto"/>
      </w:pPr>
      <w:r>
        <w:rPr>
          <w:rFonts w:ascii="Aptos" w:hAnsi="Aptos"/>
          <w:b/>
          <w:i w:val="0"/>
          <w:color w:val="008C95"/>
          <w:sz w:val="25"/>
        </w:rPr>
        <w:t>Chaîne de réponse prévue</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376"/>
            <w:shd w:fill="EAF7F9"/>
            <w:tcBorders>
              <w:top w:sz="5" w:val="single" w:color="CFE1E8"/>
              <w:left w:sz="5" w:val="single" w:color="CFE1E8"/>
              <w:bottom w:sz="5" w:val="single" w:color="CFE1E8"/>
              <w:right w:sz="5" w:val="single" w:color="CFE1E8"/>
            </w:tcBorders>
            <w:tcMar>
              <w:top w:w="70" w:type="dxa"/>
              <w:start w:w="55" w:type="dxa"/>
              <w:bottom w:w="70" w:type="dxa"/>
              <w:end w:w="55" w:type="dxa"/>
            </w:tcMar>
          </w:tcPr>
          <w:p>
            <w:pPr>
              <w:jc w:val="center"/>
            </w:pPr>
            <w:r>
              <w:rPr>
                <w:rFonts w:ascii="Aptos" w:hAnsi="Aptos"/>
                <w:b/>
                <w:color w:val="008C95"/>
                <w:sz w:val="16"/>
              </w:rPr>
              <w:t>Question utilisateur</w:t>
              <w:br/>
            </w:r>
            <w:r>
              <w:rPr>
                <w:rFonts w:ascii="Aptos" w:hAnsi="Aptos"/>
                <w:color w:val="102A43"/>
                <w:sz w:val="15"/>
              </w:rPr>
              <w:t>Demande relative à la préparation ou aux bons réflexes.</w:t>
            </w:r>
          </w:p>
        </w:tc>
        <w:tc>
          <w:tcPr>
            <w:tcW w:type="dxa" w:w="2376"/>
            <w:shd w:fill="F4FAFB"/>
            <w:tcBorders>
              <w:top w:sz="5" w:val="single" w:color="CFE1E8"/>
              <w:left w:sz="5" w:val="single" w:color="CFE1E8"/>
              <w:bottom w:sz="5" w:val="single" w:color="CFE1E8"/>
              <w:right w:sz="5" w:val="single" w:color="CFE1E8"/>
            </w:tcBorders>
            <w:tcMar>
              <w:top w:w="70" w:type="dxa"/>
              <w:start w:w="55" w:type="dxa"/>
              <w:bottom w:w="70" w:type="dxa"/>
              <w:end w:w="55" w:type="dxa"/>
            </w:tcMar>
          </w:tcPr>
          <w:p>
            <w:pPr>
              <w:jc w:val="center"/>
            </w:pPr>
            <w:r>
              <w:rPr>
                <w:rFonts w:ascii="Aptos" w:hAnsi="Aptos"/>
                <w:b/>
                <w:color w:val="008C95"/>
                <w:sz w:val="16"/>
              </w:rPr>
              <w:t>Recherche contrôlée</w:t>
              <w:br/>
            </w:r>
            <w:r>
              <w:rPr>
                <w:rFonts w:ascii="Aptos" w:hAnsi="Aptos"/>
                <w:color w:val="102A43"/>
                <w:sz w:val="15"/>
              </w:rPr>
              <w:t>Consultation exclusive du corpus validé.</w:t>
            </w:r>
          </w:p>
        </w:tc>
        <w:tc>
          <w:tcPr>
            <w:tcW w:type="dxa" w:w="2376"/>
            <w:shd w:fill="EAF7F9"/>
            <w:tcBorders>
              <w:top w:sz="5" w:val="single" w:color="CFE1E8"/>
              <w:left w:sz="5" w:val="single" w:color="CFE1E8"/>
              <w:bottom w:sz="5" w:val="single" w:color="CFE1E8"/>
              <w:right w:sz="5" w:val="single" w:color="CFE1E8"/>
            </w:tcBorders>
            <w:tcMar>
              <w:top w:w="70" w:type="dxa"/>
              <w:start w:w="55" w:type="dxa"/>
              <w:bottom w:w="70" w:type="dxa"/>
              <w:end w:w="55" w:type="dxa"/>
            </w:tcMar>
          </w:tcPr>
          <w:p>
            <w:pPr>
              <w:jc w:val="center"/>
            </w:pPr>
            <w:r>
              <w:rPr>
                <w:rFonts w:ascii="Aptos" w:hAnsi="Aptos"/>
                <w:b/>
                <w:color w:val="008C95"/>
                <w:sz w:val="16"/>
              </w:rPr>
              <w:t>Réponse sourcée</w:t>
              <w:br/>
            </w:r>
            <w:r>
              <w:rPr>
                <w:rFonts w:ascii="Aptos" w:hAnsi="Aptos"/>
                <w:color w:val="102A43"/>
                <w:sz w:val="15"/>
              </w:rPr>
              <w:t>Réponse courte avec organisme source et lien.</w:t>
            </w:r>
          </w:p>
        </w:tc>
        <w:tc>
          <w:tcPr>
            <w:tcW w:type="dxa" w:w="2376"/>
            <w:shd w:fill="F4FAFB"/>
            <w:tcBorders>
              <w:top w:sz="5" w:val="single" w:color="CFE1E8"/>
              <w:left w:sz="5" w:val="single" w:color="CFE1E8"/>
              <w:bottom w:sz="5" w:val="single" w:color="CFE1E8"/>
              <w:right w:sz="5" w:val="single" w:color="CFE1E8"/>
            </w:tcBorders>
            <w:tcMar>
              <w:top w:w="70" w:type="dxa"/>
              <w:start w:w="55" w:type="dxa"/>
              <w:bottom w:w="70" w:type="dxa"/>
              <w:end w:w="55" w:type="dxa"/>
            </w:tcMar>
          </w:tcPr>
          <w:p>
            <w:pPr>
              <w:jc w:val="center"/>
            </w:pPr>
            <w:r>
              <w:rPr>
                <w:rFonts w:ascii="Aptos" w:hAnsi="Aptos"/>
                <w:b/>
                <w:color w:val="008C95"/>
                <w:sz w:val="16"/>
              </w:rPr>
              <w:t>Contrôle de périmètre</w:t>
              <w:br/>
            </w:r>
            <w:r>
              <w:rPr>
                <w:rFonts w:ascii="Aptos" w:hAnsi="Aptos"/>
                <w:color w:val="102A43"/>
                <w:sz w:val="15"/>
              </w:rPr>
              <w:t>Refus ou redirection lorsque la source est absente ou la demande inadaptée.</w:t>
            </w:r>
          </w:p>
        </w:tc>
      </w:tr>
    </w:tbl>
    <w:p>
      <w:pPr>
        <w:keepNext/>
        <w:spacing w:before="160" w:after="40" w:line="257" w:lineRule="auto"/>
      </w:pPr>
      <w:r>
        <w:rPr>
          <w:rFonts w:ascii="Aptos" w:hAnsi="Aptos"/>
          <w:b/>
          <w:i w:val="0"/>
          <w:color w:val="008C95"/>
          <w:sz w:val="23"/>
        </w:rPr>
        <w:t>Demandes devant entraîner un refus ou une redirection</w:t>
      </w:r>
    </w:p>
    <w:p>
      <w:pPr>
        <w:pStyle w:val="ListBullet"/>
        <w:spacing w:after="40" w:line="250" w:lineRule="auto"/>
        <w:ind w:left="317" w:hanging="216"/>
      </w:pPr>
      <w:r>
        <w:rPr>
          <w:rFonts w:ascii="Aptos" w:hAnsi="Aptos"/>
          <w:color w:val="102A43"/>
          <w:sz w:val="19"/>
        </w:rPr>
        <w:t>demande d’alerte ou de situation en temps réel ;</w:t>
      </w:r>
    </w:p>
    <w:p>
      <w:pPr>
        <w:pStyle w:val="ListBullet"/>
        <w:spacing w:after="40" w:line="250" w:lineRule="auto"/>
        <w:ind w:left="317" w:hanging="216"/>
      </w:pPr>
      <w:r>
        <w:rPr>
          <w:rFonts w:ascii="Aptos" w:hAnsi="Aptos"/>
          <w:color w:val="102A43"/>
          <w:sz w:val="19"/>
        </w:rPr>
        <w:t>urgence en cours, danger immédiat ou besoin de secours ;</w:t>
      </w:r>
    </w:p>
    <w:p>
      <w:pPr>
        <w:pStyle w:val="ListBullet"/>
        <w:spacing w:after="40" w:line="250" w:lineRule="auto"/>
        <w:ind w:left="317" w:hanging="216"/>
      </w:pPr>
      <w:r>
        <w:rPr>
          <w:rFonts w:ascii="Aptos" w:hAnsi="Aptos"/>
          <w:color w:val="102A43"/>
          <w:sz w:val="19"/>
        </w:rPr>
        <w:t>diagnostic médical, posologie ou conseil de santé individuel ;</w:t>
      </w:r>
    </w:p>
    <w:p>
      <w:pPr>
        <w:pStyle w:val="ListBullet"/>
        <w:spacing w:after="40" w:line="250" w:lineRule="auto"/>
        <w:ind w:left="317" w:hanging="216"/>
      </w:pPr>
      <w:r>
        <w:rPr>
          <w:rFonts w:ascii="Aptos" w:hAnsi="Aptos"/>
          <w:color w:val="102A43"/>
          <w:sz w:val="19"/>
        </w:rPr>
        <w:t>prévision certaine d’un cyclone, d’un séisme ou d’une inondation ;</w:t>
      </w:r>
    </w:p>
    <w:p>
      <w:pPr>
        <w:pStyle w:val="ListBullet"/>
        <w:spacing w:after="40" w:line="250" w:lineRule="auto"/>
        <w:ind w:left="317" w:hanging="216"/>
      </w:pPr>
      <w:r>
        <w:rPr>
          <w:rFonts w:ascii="Aptos" w:hAnsi="Aptos"/>
          <w:color w:val="102A43"/>
          <w:sz w:val="19"/>
        </w:rPr>
        <w:t>question hors du corpus ou information non validée ;</w:t>
      </w:r>
    </w:p>
    <w:p>
      <w:pPr>
        <w:pStyle w:val="ListBullet"/>
        <w:spacing w:after="40" w:line="250" w:lineRule="auto"/>
        <w:ind w:left="317" w:hanging="216"/>
      </w:pPr>
      <w:r>
        <w:rPr>
          <w:rFonts w:ascii="Aptos" w:hAnsi="Aptos"/>
          <w:color w:val="102A43"/>
          <w:sz w:val="19"/>
        </w:rPr>
        <w:t>instruction contradictoire avec les autorités compétentes.</w:t>
      </w:r>
    </w:p>
    <w:p>
      <w:pPr>
        <w:keepNext/>
        <w:spacing w:before="120" w:after="40" w:line="257" w:lineRule="auto"/>
      </w:pPr>
      <w:r>
        <w:rPr>
          <w:rFonts w:ascii="Aptos" w:hAnsi="Aptos"/>
          <w:b/>
          <w:i w:val="0"/>
          <w:color w:val="008C95"/>
          <w:sz w:val="23"/>
        </w:rPr>
        <w:t>Garde-fous</w:t>
      </w:r>
    </w:p>
    <w:p>
      <w:pPr>
        <w:pStyle w:val="ListBullet"/>
        <w:spacing w:after="40" w:line="250" w:lineRule="auto"/>
        <w:ind w:left="317" w:hanging="216"/>
      </w:pPr>
      <w:r>
        <w:rPr>
          <w:rFonts w:ascii="Aptos" w:hAnsi="Aptos"/>
          <w:color w:val="102A43"/>
          <w:sz w:val="19"/>
        </w:rPr>
        <w:t>affichage systématique des limites de l’assistant ;</w:t>
      </w:r>
    </w:p>
    <w:p>
      <w:pPr>
        <w:pStyle w:val="ListBullet"/>
        <w:spacing w:after="40" w:line="250" w:lineRule="auto"/>
        <w:ind w:left="317" w:hanging="216"/>
      </w:pPr>
      <w:r>
        <w:rPr>
          <w:rFonts w:ascii="Aptos" w:hAnsi="Aptos"/>
          <w:color w:val="102A43"/>
          <w:sz w:val="19"/>
        </w:rPr>
        <w:t>citation de la source utilisée dans la réponse ;</w:t>
      </w:r>
    </w:p>
    <w:p>
      <w:pPr>
        <w:pStyle w:val="ListBullet"/>
        <w:spacing w:after="40" w:line="250" w:lineRule="auto"/>
        <w:ind w:left="317" w:hanging="216"/>
      </w:pPr>
      <w:r>
        <w:rPr>
          <w:rFonts w:ascii="Aptos" w:hAnsi="Aptos"/>
          <w:color w:val="102A43"/>
          <w:sz w:val="19"/>
        </w:rPr>
        <w:t>configuration visant à empêcher l'utilisation des échanges pour l'entraînement, selon les garanties du prestataire retenu ;</w:t>
      </w:r>
    </w:p>
    <w:p>
      <w:pPr>
        <w:pStyle w:val="ListBullet"/>
        <w:spacing w:after="40" w:line="250" w:lineRule="auto"/>
        <w:ind w:left="317" w:hanging="216"/>
      </w:pPr>
      <w:r>
        <w:rPr>
          <w:rFonts w:ascii="Aptos" w:hAnsi="Aptos"/>
          <w:color w:val="102A43"/>
          <w:sz w:val="19"/>
        </w:rPr>
        <w:t>journalisation minimisée et anonymisée, limitée aux erreurs et questions non couvertes ;</w:t>
      </w:r>
    </w:p>
    <w:p>
      <w:pPr>
        <w:pStyle w:val="ListBullet"/>
        <w:spacing w:after="40" w:line="250" w:lineRule="auto"/>
        <w:ind w:left="317" w:hanging="216"/>
      </w:pPr>
      <w:r>
        <w:rPr>
          <w:rFonts w:ascii="Aptos" w:hAnsi="Aptos"/>
          <w:color w:val="102A43"/>
          <w:sz w:val="19"/>
        </w:rPr>
        <w:t>jeu de tests portant sur les erreurs dangereuses, ambiguës ou hors périmètre ;</w:t>
      </w:r>
    </w:p>
    <w:p>
      <w:pPr>
        <w:pStyle w:val="ListBullet"/>
        <w:spacing w:after="40" w:line="250" w:lineRule="auto"/>
        <w:ind w:left="317" w:hanging="216"/>
      </w:pPr>
      <w:r>
        <w:rPr>
          <w:rFonts w:ascii="Aptos" w:hAnsi="Aptos"/>
          <w:color w:val="102A43"/>
          <w:sz w:val="19"/>
        </w:rPr>
        <w:t>possibilité de désactiver immédiatement le module sans interrompre le reste de la plateforme.</w:t>
      </w:r>
    </w:p>
    <w:tbl>
      <w:tblPr>
        <w:tblW w:type="auto" w:w="0"/>
        <w:jc w:val="center"/>
        <w:tblLayout w:type="fixed"/>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008C95"/>
                <w:sz w:val="20"/>
              </w:rPr>
              <w:t>Message de sécurité à conserver</w:t>
            </w:r>
          </w:p>
          <w:p>
            <w:pPr>
              <w:spacing w:after="0" w:line="250" w:lineRule="auto"/>
            </w:pPr>
            <w:r>
              <w:rPr>
                <w:rFonts w:ascii="Aptos" w:hAnsi="Aptos"/>
                <w:color w:val="102A43"/>
                <w:sz w:val="19"/>
              </w:rPr>
              <w:t>Mon Plan Résilience 976 est un outil de sensibilisation. Il ne fournit pas d’alerte en temps réel et ne remplace jamais les consignes diffusées par les autorités compétentes.</w:t>
            </w:r>
          </w:p>
        </w:tc>
      </w:tr>
    </w:tbl>
    <w:p>
      <w:pPr>
        <w:spacing w:after="20"/>
      </w:pPr>
    </w:p>
    <w:p>
      <w:r>
        <w:br w:type="page"/>
      </w:r>
    </w:p>
    <w:p>
      <w:pPr>
        <w:keepNext/>
        <w:spacing w:after="40"/>
      </w:pPr>
      <w:r>
        <w:rPr>
          <w:rFonts w:ascii="Aptos" w:hAnsi="Aptos"/>
          <w:b/>
          <w:color w:val="008C95"/>
          <w:sz w:val="36"/>
        </w:rPr>
        <w:t xml:space="preserve">6. </w:t>
      </w:r>
      <w:r>
        <w:rPr>
          <w:rFonts w:ascii="Aptos Display" w:hAnsi="Aptos Display"/>
          <w:b/>
          <w:color w:val="102A43"/>
          <w:sz w:val="36"/>
        </w:rPr>
        <w:t>Mesure de l’impact et justification de l’objectif</w:t>
      </w:r>
    </w:p>
    <w:p>
      <w:pPr>
        <w:keepNext/>
        <w:spacing w:before="0" w:after="140" w:line="257" w:lineRule="auto"/>
      </w:pPr>
      <w:r>
        <w:rPr>
          <w:rFonts w:ascii="Aptos" w:hAnsi="Aptos"/>
          <w:b w:val="0"/>
          <w:i/>
          <w:color w:val="52677A"/>
          <w:sz w:val="20"/>
        </w:rPr>
        <w:t>Un suivi centré sur l’usage réel, sans confondre pages vues et personnes effectivement sensibilisées.</w:t>
      </w:r>
    </w:p>
    <w:p>
      <w:pPr>
        <w:spacing w:after="40"/>
        <w:jc w:val="center"/>
      </w:pPr>
      <w:r>
        <w:drawing>
          <wp:inline xmlns:a="http://schemas.openxmlformats.org/drawingml/2006/main" xmlns:pic="http://schemas.openxmlformats.org/drawingml/2006/picture">
            <wp:extent cx="5989320" cy="2076298"/>
            <wp:docPr id="5" name="Picture 5"/>
            <wp:cNvGraphicFramePr>
              <a:graphicFrameLocks noChangeAspect="1"/>
            </wp:cNvGraphicFramePr>
            <a:graphic>
              <a:graphicData uri="http://schemas.openxmlformats.org/drawingml/2006/picture">
                <pic:pic>
                  <pic:nvPicPr>
                    <pic:cNvPr id="0" name="impact_5000.png"/>
                    <pic:cNvPicPr/>
                  </pic:nvPicPr>
                  <pic:blipFill>
                    <a:blip r:embed="rId15"/>
                    <a:stretch>
                      <a:fillRect/>
                    </a:stretch>
                  </pic:blipFill>
                  <pic:spPr>
                    <a:xfrm>
                      <a:off x="0" y="0"/>
                      <a:ext cx="5989320" cy="2076298"/>
                    </a:xfrm>
                    <a:prstGeom prst="rect"/>
                  </pic:spPr>
                </pic:pic>
              </a:graphicData>
            </a:graphic>
          </wp:inline>
        </w:drawing>
      </w:r>
    </w:p>
    <w:p>
      <w:pPr>
        <w:spacing w:after="120"/>
        <w:jc w:val="center"/>
      </w:pPr>
      <w:r>
        <w:rPr>
          <w:rFonts w:ascii="Aptos" w:hAnsi="Aptos"/>
          <w:i/>
          <w:color w:val="52677A"/>
          <w:sz w:val="16"/>
        </w:rPr>
        <w:t>Objectif de fréquentation sur la période du 1er septembre au 31 décembre 2026.</w:t>
      </w:r>
    </w:p>
    <w:p>
      <w:pPr>
        <w:keepNext/>
        <w:spacing w:before="0" w:after="40" w:line="257" w:lineRule="auto"/>
      </w:pPr>
      <w:r>
        <w:rPr>
          <w:rFonts w:ascii="Aptos" w:hAnsi="Aptos"/>
          <w:b/>
          <w:i w:val="0"/>
          <w:color w:val="008C95"/>
          <w:sz w:val="23"/>
        </w:rPr>
        <w:t>Base de calcul</w:t>
      </w:r>
    </w:p>
    <w:p>
      <w:pPr>
        <w:keepNext w:val="0"/>
        <w:spacing w:before="0" w:after="120" w:line="257" w:lineRule="auto"/>
      </w:pPr>
      <w:r>
        <w:rPr>
          <w:rFonts w:ascii="Aptos" w:hAnsi="Aptos"/>
          <w:b w:val="0"/>
          <w:i w:val="0"/>
          <w:color w:val="102A43"/>
          <w:sz w:val="19"/>
        </w:rPr>
        <w:t>Selon les premiers résultats du recensement exhaustif de l'Insee, la population municipale de Mayotte s'établit à 323 153 habitants au 1er janvier 2026. L'objectif de 5 000 personnes représente environ 1,55 % de cette population, soit 1 250 utilisateurs par mois ou 41 par jour sur 122 jours.</w:t>
      </w:r>
    </w:p>
    <w:tbl>
      <w:tblPr>
        <w:tblW w:type="auto" w:w="0"/>
        <w:jc w:val="center"/>
        <w:tblLayout w:type="fixed"/>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008C95"/>
                <w:sz w:val="20"/>
              </w:rPr>
              <w:t>Définition d’une personne touchée</w:t>
            </w:r>
          </w:p>
          <w:p>
            <w:pPr>
              <w:spacing w:after="0" w:line="250" w:lineRule="auto"/>
            </w:pPr>
            <w:r>
              <w:rPr>
                <w:rFonts w:ascii="Aptos" w:hAnsi="Aptos"/>
                <w:color w:val="102A43"/>
                <w:sz w:val="19"/>
              </w:rPr>
              <w:t>Un visiteur unique ayant commencé au moins un diagnostic, un quiz, une micro-formation ou une mise en situation. Une simple page vue ne sera pas comptabilisée comme une personne sensibilisée.</w:t>
            </w:r>
          </w:p>
        </w:tc>
      </w:tr>
    </w:tbl>
    <w:p>
      <w:pPr>
        <w:spacing w:after="20"/>
      </w:pPr>
    </w:p>
    <w:tbl>
      <w:tblPr>
        <w:tblW w:type="auto" w:w="0"/>
        <w:jc w:val="center"/>
        <w:tblLayout w:type="fixed"/>
        <w:tblLook w:firstColumn="1" w:firstRow="1" w:lastColumn="0" w:lastRow="0" w:noHBand="0" w:noVBand="1" w:val="04A0"/>
      </w:tblPr>
      <w:tblGrid>
        <w:gridCol w:w="1800"/>
        <w:gridCol w:w="3456"/>
        <w:gridCol w:w="4248"/>
      </w:tblGrid>
      <w:tr>
        <w:tc>
          <w:tcPr>
            <w:tcW w:type="dxa" w:w="3456"/>
            <w:shd w:fill="102A43"/>
            <w:tcMar>
              <w:top w:w="70" w:type="dxa"/>
              <w:start w:w="90" w:type="dxa"/>
              <w:bottom w:w="70" w:type="dxa"/>
              <w:end w:w="90" w:type="dxa"/>
            </w:tcMar>
          </w:tcPr>
          <w:p>
            <w:pPr>
              <w:jc w:val="center"/>
            </w:pPr>
            <w:r>
              <w:rPr>
                <w:rFonts w:ascii="Aptos" w:hAnsi="Aptos"/>
                <w:b/>
                <w:color w:val="FFFFFF"/>
                <w:sz w:val="16"/>
              </w:rPr>
              <w:t>Niveau</w:t>
            </w:r>
          </w:p>
        </w:tc>
        <w:tc>
          <w:tcPr>
            <w:tcW w:type="dxa" w:w="3456"/>
            <w:shd w:fill="102A43"/>
            <w:tcMar>
              <w:top w:w="70" w:type="dxa"/>
              <w:start w:w="90" w:type="dxa"/>
              <w:bottom w:w="70" w:type="dxa"/>
              <w:end w:w="90" w:type="dxa"/>
            </w:tcMar>
          </w:tcPr>
          <w:p>
            <w:pPr>
              <w:jc w:val="center"/>
            </w:pPr>
            <w:r>
              <w:rPr>
                <w:rFonts w:ascii="Aptos" w:hAnsi="Aptos"/>
                <w:b/>
                <w:color w:val="FFFFFF"/>
                <w:sz w:val="16"/>
              </w:rPr>
              <w:t>Indicateur</w:t>
            </w:r>
          </w:p>
        </w:tc>
        <w:tc>
          <w:tcPr>
            <w:tcW w:type="dxa" w:w="3456"/>
            <w:shd w:fill="102A43"/>
            <w:tcMar>
              <w:top w:w="70" w:type="dxa"/>
              <w:start w:w="90" w:type="dxa"/>
              <w:bottom w:w="70" w:type="dxa"/>
              <w:end w:w="90" w:type="dxa"/>
            </w:tcMar>
          </w:tcPr>
          <w:p>
            <w:pPr>
              <w:jc w:val="center"/>
            </w:pPr>
            <w:r>
              <w:rPr>
                <w:rFonts w:ascii="Aptos" w:hAnsi="Aptos"/>
                <w:b/>
                <w:color w:val="FFFFFF"/>
                <w:sz w:val="16"/>
              </w:rPr>
              <w:t>Utilité</w:t>
            </w:r>
          </w:p>
        </w:tc>
      </w:tr>
      <w:tr>
        <w:tc>
          <w:tcPr>
            <w:tcW w:type="dxa" w:w="1800"/>
            <w:tcBorders>
              <w:bottom w:sz="4" w:val="single" w:color="CFE1E8"/>
            </w:tcBorders>
            <w:tcMar>
              <w:top w:w="50" w:type="dxa"/>
              <w:start w:w="65" w:type="dxa"/>
              <w:bottom w:w="50" w:type="dxa"/>
              <w:end w:w="65" w:type="dxa"/>
            </w:tcMar>
          </w:tcPr>
          <w:p>
            <w:r>
              <w:rPr>
                <w:rFonts w:ascii="Aptos" w:hAnsi="Aptos"/>
                <w:b/>
                <w:color w:val="008C95"/>
                <w:sz w:val="16"/>
              </w:rPr>
              <w:t>Audience</w:t>
            </w:r>
          </w:p>
        </w:tc>
        <w:tc>
          <w:tcPr>
            <w:tcW w:type="dxa" w:w="3456"/>
            <w:tcBorders>
              <w:bottom w:sz="4" w:val="single" w:color="CFE1E8"/>
            </w:tcBorders>
            <w:tcMar>
              <w:top w:w="50" w:type="dxa"/>
              <w:start w:w="65" w:type="dxa"/>
              <w:bottom w:w="50" w:type="dxa"/>
              <w:end w:w="65" w:type="dxa"/>
            </w:tcMar>
          </w:tcPr>
          <w:p>
            <w:r>
              <w:rPr>
                <w:rFonts w:ascii="Aptos" w:hAnsi="Aptos"/>
                <w:b w:val="0"/>
                <w:color w:val="102A43"/>
                <w:sz w:val="16"/>
              </w:rPr>
              <w:t>Visiteurs uniques engagés</w:t>
            </w:r>
          </w:p>
        </w:tc>
        <w:tc>
          <w:tcPr>
            <w:tcW w:type="dxa" w:w="4248"/>
            <w:tcBorders>
              <w:bottom w:sz="4" w:val="single" w:color="CFE1E8"/>
            </w:tcBorders>
            <w:tcMar>
              <w:top w:w="50" w:type="dxa"/>
              <w:start w:w="65" w:type="dxa"/>
              <w:bottom w:w="50" w:type="dxa"/>
              <w:end w:w="65" w:type="dxa"/>
            </w:tcMar>
          </w:tcPr>
          <w:p>
            <w:r>
              <w:rPr>
                <w:rFonts w:ascii="Aptos" w:hAnsi="Aptos"/>
                <w:b w:val="0"/>
                <w:color w:val="102A43"/>
                <w:sz w:val="16"/>
              </w:rPr>
              <w:t>Mesurer la population effectivement touchée</w:t>
            </w:r>
          </w:p>
        </w:tc>
      </w:tr>
      <w:tr>
        <w:tc>
          <w:tcPr>
            <w:tcW w:type="dxa" w:w="1800"/>
            <w:tcBorders>
              <w:bottom w:sz="4" w:val="single" w:color="CFE1E8"/>
            </w:tcBorders>
            <w:tcMar>
              <w:top w:w="50" w:type="dxa"/>
              <w:start w:w="65" w:type="dxa"/>
              <w:bottom w:w="50" w:type="dxa"/>
              <w:end w:w="65" w:type="dxa"/>
            </w:tcMar>
          </w:tcPr>
          <w:p>
            <w:r>
              <w:rPr>
                <w:rFonts w:ascii="Aptos" w:hAnsi="Aptos"/>
                <w:b/>
                <w:color w:val="008C95"/>
                <w:sz w:val="16"/>
              </w:rPr>
              <w:t>Engagement</w:t>
            </w:r>
          </w:p>
        </w:tc>
        <w:tc>
          <w:tcPr>
            <w:tcW w:type="dxa" w:w="3456"/>
            <w:tcBorders>
              <w:bottom w:sz="4" w:val="single" w:color="CFE1E8"/>
            </w:tcBorders>
            <w:tcMar>
              <w:top w:w="50" w:type="dxa"/>
              <w:start w:w="65" w:type="dxa"/>
              <w:bottom w:w="50" w:type="dxa"/>
              <w:end w:w="65" w:type="dxa"/>
            </w:tcMar>
          </w:tcPr>
          <w:p>
            <w:r>
              <w:rPr>
                <w:rFonts w:ascii="Aptos" w:hAnsi="Aptos"/>
                <w:b w:val="0"/>
                <w:color w:val="102A43"/>
                <w:sz w:val="16"/>
              </w:rPr>
              <w:t>Diagnostics et quiz commencés</w:t>
            </w:r>
          </w:p>
        </w:tc>
        <w:tc>
          <w:tcPr>
            <w:tcW w:type="dxa" w:w="4248"/>
            <w:tcBorders>
              <w:bottom w:sz="4" w:val="single" w:color="CFE1E8"/>
            </w:tcBorders>
            <w:tcMar>
              <w:top w:w="50" w:type="dxa"/>
              <w:start w:w="65" w:type="dxa"/>
              <w:bottom w:w="50" w:type="dxa"/>
              <w:end w:w="65" w:type="dxa"/>
            </w:tcMar>
          </w:tcPr>
          <w:p>
            <w:r>
              <w:rPr>
                <w:rFonts w:ascii="Aptos" w:hAnsi="Aptos"/>
                <w:b w:val="0"/>
                <w:color w:val="102A43"/>
                <w:sz w:val="16"/>
              </w:rPr>
              <w:t>Vérifier l’intérêt pour les parcours</w:t>
            </w:r>
          </w:p>
        </w:tc>
      </w:tr>
      <w:tr>
        <w:tc>
          <w:tcPr>
            <w:tcW w:type="dxa" w:w="1800"/>
            <w:tcBorders>
              <w:bottom w:sz="4" w:val="single" w:color="CFE1E8"/>
            </w:tcBorders>
            <w:tcMar>
              <w:top w:w="50" w:type="dxa"/>
              <w:start w:w="65" w:type="dxa"/>
              <w:bottom w:w="50" w:type="dxa"/>
              <w:end w:w="65" w:type="dxa"/>
            </w:tcMar>
          </w:tcPr>
          <w:p>
            <w:r>
              <w:rPr>
                <w:rFonts w:ascii="Aptos" w:hAnsi="Aptos"/>
                <w:b/>
                <w:color w:val="008C95"/>
                <w:sz w:val="16"/>
              </w:rPr>
              <w:t>Complétion</w:t>
            </w:r>
          </w:p>
        </w:tc>
        <w:tc>
          <w:tcPr>
            <w:tcW w:type="dxa" w:w="3456"/>
            <w:tcBorders>
              <w:bottom w:sz="4" w:val="single" w:color="CFE1E8"/>
            </w:tcBorders>
            <w:tcMar>
              <w:top w:w="50" w:type="dxa"/>
              <w:start w:w="65" w:type="dxa"/>
              <w:bottom w:w="50" w:type="dxa"/>
              <w:end w:w="65" w:type="dxa"/>
            </w:tcMar>
          </w:tcPr>
          <w:p>
            <w:r>
              <w:rPr>
                <w:rFonts w:ascii="Aptos" w:hAnsi="Aptos"/>
                <w:b w:val="0"/>
                <w:color w:val="102A43"/>
                <w:sz w:val="16"/>
              </w:rPr>
              <w:t>Diagnostics terminés et taux de complétion</w:t>
            </w:r>
          </w:p>
        </w:tc>
        <w:tc>
          <w:tcPr>
            <w:tcW w:type="dxa" w:w="4248"/>
            <w:tcBorders>
              <w:bottom w:sz="4" w:val="single" w:color="CFE1E8"/>
            </w:tcBorders>
            <w:tcMar>
              <w:top w:w="50" w:type="dxa"/>
              <w:start w:w="65" w:type="dxa"/>
              <w:bottom w:w="50" w:type="dxa"/>
              <w:end w:w="65" w:type="dxa"/>
            </w:tcMar>
          </w:tcPr>
          <w:p>
            <w:r>
              <w:rPr>
                <w:rFonts w:ascii="Aptos" w:hAnsi="Aptos"/>
                <w:b w:val="0"/>
                <w:color w:val="102A43"/>
                <w:sz w:val="16"/>
              </w:rPr>
              <w:t>Évaluer la capacité du parcours à aller jusqu’au résultat</w:t>
            </w:r>
          </w:p>
        </w:tc>
      </w:tr>
      <w:tr>
        <w:tc>
          <w:tcPr>
            <w:tcW w:type="dxa" w:w="1800"/>
            <w:tcBorders>
              <w:bottom w:sz="4" w:val="single" w:color="CFE1E8"/>
            </w:tcBorders>
            <w:tcMar>
              <w:top w:w="50" w:type="dxa"/>
              <w:start w:w="65" w:type="dxa"/>
              <w:bottom w:w="50" w:type="dxa"/>
              <w:end w:w="65" w:type="dxa"/>
            </w:tcMar>
          </w:tcPr>
          <w:p>
            <w:r>
              <w:rPr>
                <w:rFonts w:ascii="Aptos" w:hAnsi="Aptos"/>
                <w:b/>
                <w:color w:val="008C95"/>
                <w:sz w:val="16"/>
              </w:rPr>
              <w:t>Passage à l’action</w:t>
            </w:r>
          </w:p>
        </w:tc>
        <w:tc>
          <w:tcPr>
            <w:tcW w:type="dxa" w:w="3456"/>
            <w:tcBorders>
              <w:bottom w:sz="4" w:val="single" w:color="CFE1E8"/>
            </w:tcBorders>
            <w:tcMar>
              <w:top w:w="50" w:type="dxa"/>
              <w:start w:w="65" w:type="dxa"/>
              <w:bottom w:w="50" w:type="dxa"/>
              <w:end w:w="65" w:type="dxa"/>
            </w:tcMar>
          </w:tcPr>
          <w:p>
            <w:r>
              <w:rPr>
                <w:rFonts w:ascii="Aptos" w:hAnsi="Aptos"/>
                <w:b w:val="0"/>
                <w:color w:val="102A43"/>
                <w:sz w:val="16"/>
              </w:rPr>
              <w:t>Checklists, kits, plans et attestations générés</w:t>
            </w:r>
          </w:p>
        </w:tc>
        <w:tc>
          <w:tcPr>
            <w:tcW w:type="dxa" w:w="4248"/>
            <w:tcBorders>
              <w:bottom w:sz="4" w:val="single" w:color="CFE1E8"/>
            </w:tcBorders>
            <w:tcMar>
              <w:top w:w="50" w:type="dxa"/>
              <w:start w:w="65" w:type="dxa"/>
              <w:bottom w:w="50" w:type="dxa"/>
              <w:end w:w="65" w:type="dxa"/>
            </w:tcMar>
          </w:tcPr>
          <w:p>
            <w:r>
              <w:rPr>
                <w:rFonts w:ascii="Aptos" w:hAnsi="Aptos"/>
                <w:b w:val="0"/>
                <w:color w:val="102A43"/>
                <w:sz w:val="16"/>
              </w:rPr>
              <w:t>Mesurer la transformation de l’information en actions concrètes</w:t>
            </w:r>
          </w:p>
        </w:tc>
      </w:tr>
      <w:tr>
        <w:tc>
          <w:tcPr>
            <w:tcW w:type="dxa" w:w="1800"/>
            <w:tcBorders>
              <w:bottom w:sz="4" w:val="single" w:color="CFE1E8"/>
            </w:tcBorders>
            <w:tcMar>
              <w:top w:w="50" w:type="dxa"/>
              <w:start w:w="65" w:type="dxa"/>
              <w:bottom w:w="50" w:type="dxa"/>
              <w:end w:w="65" w:type="dxa"/>
            </w:tcMar>
          </w:tcPr>
          <w:p>
            <w:r>
              <w:rPr>
                <w:rFonts w:ascii="Aptos" w:hAnsi="Aptos"/>
                <w:b/>
                <w:color w:val="008C95"/>
                <w:sz w:val="16"/>
              </w:rPr>
              <w:t>Compréhension</w:t>
            </w:r>
          </w:p>
        </w:tc>
        <w:tc>
          <w:tcPr>
            <w:tcW w:type="dxa" w:w="3456"/>
            <w:tcBorders>
              <w:bottom w:sz="4" w:val="single" w:color="CFE1E8"/>
            </w:tcBorders>
            <w:tcMar>
              <w:top w:w="50" w:type="dxa"/>
              <w:start w:w="65" w:type="dxa"/>
              <w:bottom w:w="50" w:type="dxa"/>
              <w:end w:w="65" w:type="dxa"/>
            </w:tcMar>
          </w:tcPr>
          <w:p>
            <w:r>
              <w:rPr>
                <w:rFonts w:ascii="Aptos" w:hAnsi="Aptos"/>
                <w:b w:val="0"/>
                <w:color w:val="102A43"/>
                <w:sz w:val="16"/>
              </w:rPr>
              <w:t>Scores moyens et questions fréquemment manquées</w:t>
            </w:r>
          </w:p>
        </w:tc>
        <w:tc>
          <w:tcPr>
            <w:tcW w:type="dxa" w:w="4248"/>
            <w:tcBorders>
              <w:bottom w:sz="4" w:val="single" w:color="CFE1E8"/>
            </w:tcBorders>
            <w:tcMar>
              <w:top w:w="50" w:type="dxa"/>
              <w:start w:w="65" w:type="dxa"/>
              <w:bottom w:w="50" w:type="dxa"/>
              <w:end w:w="65" w:type="dxa"/>
            </w:tcMar>
          </w:tcPr>
          <w:p>
            <w:r>
              <w:rPr>
                <w:rFonts w:ascii="Aptos" w:hAnsi="Aptos"/>
                <w:b w:val="0"/>
                <w:color w:val="102A43"/>
                <w:sz w:val="16"/>
              </w:rPr>
              <w:t>Identifier les thèmes à renforcer</w:t>
            </w:r>
          </w:p>
        </w:tc>
      </w:tr>
      <w:tr>
        <w:tc>
          <w:tcPr>
            <w:tcW w:type="dxa" w:w="1800"/>
            <w:tcBorders>
              <w:bottom w:sz="4" w:val="single" w:color="CFE1E8"/>
            </w:tcBorders>
            <w:tcMar>
              <w:top w:w="50" w:type="dxa"/>
              <w:start w:w="65" w:type="dxa"/>
              <w:bottom w:w="50" w:type="dxa"/>
              <w:end w:w="65" w:type="dxa"/>
            </w:tcMar>
          </w:tcPr>
          <w:p>
            <w:r>
              <w:rPr>
                <w:rFonts w:ascii="Aptos" w:hAnsi="Aptos"/>
                <w:b/>
                <w:color w:val="008C95"/>
                <w:sz w:val="16"/>
              </w:rPr>
              <w:t>Diffusion</w:t>
            </w:r>
          </w:p>
        </w:tc>
        <w:tc>
          <w:tcPr>
            <w:tcW w:type="dxa" w:w="3456"/>
            <w:tcBorders>
              <w:bottom w:sz="4" w:val="single" w:color="CFE1E8"/>
            </w:tcBorders>
            <w:tcMar>
              <w:top w:w="50" w:type="dxa"/>
              <w:start w:w="65" w:type="dxa"/>
              <w:bottom w:w="50" w:type="dxa"/>
              <w:end w:w="65" w:type="dxa"/>
            </w:tcMar>
          </w:tcPr>
          <w:p>
            <w:r>
              <w:rPr>
                <w:rFonts w:ascii="Aptos" w:hAnsi="Aptos"/>
                <w:b w:val="0"/>
                <w:color w:val="102A43"/>
                <w:sz w:val="16"/>
              </w:rPr>
              <w:t>Codes ou campagnes partenaires, sans données nominatives</w:t>
            </w:r>
          </w:p>
        </w:tc>
        <w:tc>
          <w:tcPr>
            <w:tcW w:type="dxa" w:w="4248"/>
            <w:tcBorders>
              <w:bottom w:sz="4" w:val="single" w:color="CFE1E8"/>
            </w:tcBorders>
            <w:tcMar>
              <w:top w:w="50" w:type="dxa"/>
              <w:start w:w="65" w:type="dxa"/>
              <w:bottom w:w="50" w:type="dxa"/>
              <w:end w:w="65" w:type="dxa"/>
            </w:tcMar>
          </w:tcPr>
          <w:p>
            <w:r>
              <w:rPr>
                <w:rFonts w:ascii="Aptos" w:hAnsi="Aptos"/>
                <w:b w:val="0"/>
                <w:color w:val="102A43"/>
                <w:sz w:val="16"/>
              </w:rPr>
              <w:t>Mesurer l’apport des relais territoriaux</w:t>
            </w:r>
          </w:p>
        </w:tc>
      </w:tr>
    </w:tbl>
    <w:p>
      <w:pPr>
        <w:keepNext w:val="0"/>
        <w:spacing w:before="100" w:after="0" w:line="257" w:lineRule="auto"/>
      </w:pPr>
      <w:r>
        <w:rPr>
          <w:rFonts w:ascii="Aptos" w:hAnsi="Aptos"/>
          <w:b w:val="0"/>
          <w:i/>
          <w:color w:val="52677A"/>
          <w:sz w:val="17"/>
        </w:rPr>
        <w:t>Les données seront présentées sous forme agrégée dans un bilan de fin d’action. Aucun classement public nominatif ne sera produit sans consentement explicite.</w:t>
      </w:r>
    </w:p>
    <w:p>
      <w:r>
        <w:br w:type="page"/>
      </w:r>
    </w:p>
    <w:p>
      <w:pPr>
        <w:keepNext/>
        <w:spacing w:after="40"/>
      </w:pPr>
      <w:r>
        <w:rPr>
          <w:rFonts w:ascii="Aptos" w:hAnsi="Aptos"/>
          <w:b/>
          <w:color w:val="008C95"/>
          <w:sz w:val="36"/>
        </w:rPr>
        <w:t xml:space="preserve">7. </w:t>
      </w:r>
      <w:r>
        <w:rPr>
          <w:rFonts w:ascii="Aptos Display" w:hAnsi="Aptos Display"/>
          <w:b/>
          <w:color w:val="102A43"/>
          <w:sz w:val="36"/>
        </w:rPr>
        <w:t>Risques de mise en œuvre et engagements avant lancement</w:t>
      </w:r>
    </w:p>
    <w:p>
      <w:pPr>
        <w:keepNext/>
        <w:spacing w:before="0" w:after="140" w:line="257" w:lineRule="auto"/>
      </w:pPr>
      <w:r>
        <w:rPr>
          <w:rFonts w:ascii="Aptos" w:hAnsi="Aptos"/>
          <w:b w:val="0"/>
          <w:i/>
          <w:color w:val="52677A"/>
          <w:sz w:val="20"/>
        </w:rPr>
        <w:t>Les principaux risques sont identifiés dès le dépôt afin de sécuriser la qualité du service public proposé.</w:t>
      </w:r>
    </w:p>
    <w:tbl>
      <w:tblPr>
        <w:tblW w:type="auto" w:w="0"/>
        <w:jc w:val="center"/>
        <w:tblLayout w:type="fixed"/>
        <w:tblLook w:firstColumn="1" w:firstRow="1" w:lastColumn="0" w:lastRow="0" w:noHBand="0" w:noVBand="1" w:val="04A0"/>
      </w:tblPr>
      <w:tblGrid>
        <w:gridCol w:w="2376"/>
        <w:gridCol w:w="2592"/>
        <w:gridCol w:w="4608"/>
      </w:tblGrid>
      <w:tr>
        <w:tc>
          <w:tcPr>
            <w:tcW w:type="dxa" w:w="3456"/>
            <w:shd w:fill="102A43"/>
            <w:tcMar>
              <w:top w:w="70" w:type="dxa"/>
              <w:start w:w="90" w:type="dxa"/>
              <w:bottom w:w="70" w:type="dxa"/>
              <w:end w:w="90" w:type="dxa"/>
            </w:tcMar>
          </w:tcPr>
          <w:p>
            <w:pPr>
              <w:jc w:val="center"/>
            </w:pPr>
            <w:r>
              <w:rPr>
                <w:rFonts w:ascii="Aptos" w:hAnsi="Aptos"/>
                <w:b/>
                <w:color w:val="FFFFFF"/>
                <w:sz w:val="16"/>
              </w:rPr>
              <w:t>Risque</w:t>
            </w:r>
          </w:p>
        </w:tc>
        <w:tc>
          <w:tcPr>
            <w:tcW w:type="dxa" w:w="3456"/>
            <w:shd w:fill="102A43"/>
            <w:tcMar>
              <w:top w:w="70" w:type="dxa"/>
              <w:start w:w="90" w:type="dxa"/>
              <w:bottom w:w="70" w:type="dxa"/>
              <w:end w:w="90" w:type="dxa"/>
            </w:tcMar>
          </w:tcPr>
          <w:p>
            <w:pPr>
              <w:jc w:val="center"/>
            </w:pPr>
            <w:r>
              <w:rPr>
                <w:rFonts w:ascii="Aptos" w:hAnsi="Aptos"/>
                <w:b/>
                <w:color w:val="FFFFFF"/>
                <w:sz w:val="16"/>
              </w:rPr>
              <w:t>Conséquence</w:t>
            </w:r>
          </w:p>
        </w:tc>
        <w:tc>
          <w:tcPr>
            <w:tcW w:type="dxa" w:w="3456"/>
            <w:shd w:fill="102A43"/>
            <w:tcMar>
              <w:top w:w="70" w:type="dxa"/>
              <w:start w:w="90" w:type="dxa"/>
              <w:bottom w:w="70" w:type="dxa"/>
              <w:end w:w="90" w:type="dxa"/>
            </w:tcMar>
          </w:tcPr>
          <w:p>
            <w:pPr>
              <w:jc w:val="center"/>
            </w:pPr>
            <w:r>
              <w:rPr>
                <w:rFonts w:ascii="Aptos" w:hAnsi="Aptos"/>
                <w:b/>
                <w:color w:val="FFFFFF"/>
                <w:sz w:val="16"/>
              </w:rPr>
              <w:t>Mesure de maîtrise</w:t>
            </w:r>
          </w:p>
        </w:tc>
      </w:tr>
      <w:tr>
        <w:tc>
          <w:tcPr>
            <w:tcW w:type="dxa" w:w="2376"/>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color w:val="102A43"/>
                <w:sz w:val="15"/>
              </w:rPr>
              <w:t>Contenu incorrect ou périmé</w:t>
            </w:r>
          </w:p>
        </w:tc>
        <w:tc>
          <w:tcPr>
            <w:tcW w:type="dxa" w:w="2592"/>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Consigne potentiellement dangereuse</w:t>
            </w:r>
          </w:p>
        </w:tc>
        <w:tc>
          <w:tcPr>
            <w:tcW w:type="dxa" w:w="4608"/>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Statut éditorial, source obligatoire, relecture et revue périodique.</w:t>
            </w:r>
          </w:p>
        </w:tc>
      </w:tr>
      <w:tr>
        <w:tc>
          <w:tcPr>
            <w:tcW w:type="dxa" w:w="2376"/>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color w:val="102A43"/>
                <w:sz w:val="15"/>
              </w:rPr>
              <w:t>Réponse IA non fiable</w:t>
            </w:r>
          </w:p>
        </w:tc>
        <w:tc>
          <w:tcPr>
            <w:tcW w:type="dxa" w:w="2592"/>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Information inventée ou hors contexte</w:t>
            </w:r>
          </w:p>
        </w:tc>
        <w:tc>
          <w:tcPr>
            <w:tcW w:type="dxa" w:w="4608"/>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Corpus fermé, refus sans source, tests, désactivation immédiate possible.</w:t>
            </w:r>
          </w:p>
        </w:tc>
      </w:tr>
      <w:tr>
        <w:tc>
          <w:tcPr>
            <w:tcW w:type="dxa" w:w="2376"/>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color w:val="102A43"/>
                <w:sz w:val="15"/>
              </w:rPr>
              <w:t>Confusion avec une alerte officielle</w:t>
            </w:r>
          </w:p>
        </w:tc>
        <w:tc>
          <w:tcPr>
            <w:tcW w:type="dxa" w:w="2592"/>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Mauvaise décision pendant une crise</w:t>
            </w:r>
          </w:p>
        </w:tc>
        <w:tc>
          <w:tcPr>
            <w:tcW w:type="dxa" w:w="4608"/>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Avertissement visible et redirection vers les canaux officiels.</w:t>
            </w:r>
          </w:p>
        </w:tc>
      </w:tr>
      <w:tr>
        <w:tc>
          <w:tcPr>
            <w:tcW w:type="dxa" w:w="2376"/>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color w:val="102A43"/>
                <w:sz w:val="15"/>
              </w:rPr>
              <w:t>Surestimation de l’impact</w:t>
            </w:r>
          </w:p>
        </w:tc>
        <w:tc>
          <w:tcPr>
            <w:tcW w:type="dxa" w:w="2592"/>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Indicateurs peu crédibles</w:t>
            </w:r>
          </w:p>
        </w:tc>
        <w:tc>
          <w:tcPr>
            <w:tcW w:type="dxa" w:w="4608"/>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Définition stricte d’une personne touchée et statistiques agrégées vérifiables.</w:t>
            </w:r>
          </w:p>
        </w:tc>
      </w:tr>
      <w:tr>
        <w:tc>
          <w:tcPr>
            <w:tcW w:type="dxa" w:w="2376"/>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color w:val="102A43"/>
                <w:sz w:val="15"/>
              </w:rPr>
              <w:t>Exclusion numérique</w:t>
            </w:r>
          </w:p>
        </w:tc>
        <w:tc>
          <w:tcPr>
            <w:tcW w:type="dxa" w:w="2592"/>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Publics non atteints</w:t>
            </w:r>
          </w:p>
        </w:tc>
        <w:tc>
          <w:tcPr>
            <w:tcW w:type="dxa" w:w="4608"/>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Mobile-first, supports imprimables, diffusion via relais locaux et vidéos non obligatoires.</w:t>
            </w:r>
          </w:p>
        </w:tc>
      </w:tr>
      <w:tr>
        <w:tc>
          <w:tcPr>
            <w:tcW w:type="dxa" w:w="2376"/>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color w:val="102A43"/>
                <w:sz w:val="15"/>
              </w:rPr>
              <w:t>Indisponibilité du site</w:t>
            </w:r>
          </w:p>
        </w:tc>
        <w:tc>
          <w:tcPr>
            <w:tcW w:type="dxa" w:w="2592"/>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Accès impossible temporairement</w:t>
            </w:r>
          </w:p>
        </w:tc>
        <w:tc>
          <w:tcPr>
            <w:tcW w:type="dxa" w:w="4608"/>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Hébergement sécurisé, surveillance, sauvegardes et contenu statique de secours.</w:t>
            </w:r>
          </w:p>
        </w:tc>
      </w:tr>
      <w:tr>
        <w:tc>
          <w:tcPr>
            <w:tcW w:type="dxa" w:w="2376"/>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color w:val="102A43"/>
                <w:sz w:val="15"/>
              </w:rPr>
              <w:t>Collecte excessive de données</w:t>
            </w:r>
          </w:p>
        </w:tc>
        <w:tc>
          <w:tcPr>
            <w:tcW w:type="dxa" w:w="2592"/>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Atteinte à la confidentialité</w:t>
            </w:r>
          </w:p>
        </w:tc>
        <w:tc>
          <w:tcPr>
            <w:tcW w:type="dxa" w:w="4608"/>
            <w:tcBorders>
              <w:top w:sz="4" w:val="single" w:color="CFE1E8"/>
              <w:left w:sz="4" w:val="single" w:color="CFE1E8"/>
              <w:bottom w:sz="4" w:val="single" w:color="CFE1E8"/>
              <w:right w:sz="4" w:val="single" w:color="CFE1E8"/>
            </w:tcBorders>
            <w:tcMar>
              <w:top w:w="50" w:type="dxa"/>
              <w:start w:w="60" w:type="dxa"/>
              <w:bottom w:w="50" w:type="dxa"/>
              <w:end w:w="60" w:type="dxa"/>
            </w:tcMar>
          </w:tcPr>
          <w:p>
            <w:r>
              <w:rPr>
                <w:rFonts w:ascii="Aptos" w:hAnsi="Aptos"/>
                <w:b w:val="0"/>
                <w:color w:val="102A43"/>
                <w:sz w:val="15"/>
              </w:rPr>
              <w:t>Absence de compte, stockage local, minimisation et effacement accessible.</w:t>
            </w:r>
          </w:p>
        </w:tc>
      </w:tr>
    </w:tbl>
    <w:p>
      <w:pPr>
        <w:keepNext/>
        <w:spacing w:before="140" w:after="40" w:line="257" w:lineRule="auto"/>
      </w:pPr>
      <w:r>
        <w:rPr>
          <w:rFonts w:ascii="Aptos" w:hAnsi="Aptos"/>
          <w:b/>
          <w:i w:val="0"/>
          <w:color w:val="008C95"/>
          <w:sz w:val="23"/>
        </w:rPr>
        <w:t>Engagements de GT SAS avant l’ouverture publique</w:t>
      </w:r>
    </w:p>
    <w:p>
      <w:pPr>
        <w:pStyle w:val="ListBullet"/>
        <w:spacing w:after="40" w:line="250" w:lineRule="auto"/>
        <w:ind w:left="317" w:hanging="216"/>
      </w:pPr>
      <w:r>
        <w:rPr>
          <w:rFonts w:ascii="Aptos" w:hAnsi="Aptos"/>
          <w:color w:val="102A43"/>
          <w:sz w:val="19"/>
        </w:rPr>
        <w:t>valider ou retirer toutes les recommandations marquées « En cours de validation éditoriale » ;</w:t>
      </w:r>
    </w:p>
    <w:p>
      <w:pPr>
        <w:pStyle w:val="ListBullet"/>
        <w:spacing w:after="40" w:line="250" w:lineRule="auto"/>
        <w:ind w:left="317" w:hanging="216"/>
      </w:pPr>
      <w:r>
        <w:rPr>
          <w:rFonts w:ascii="Aptos" w:hAnsi="Aptos"/>
          <w:color w:val="102A43"/>
          <w:sz w:val="19"/>
        </w:rPr>
        <w:t>formaliser le registre des sources et la date de dernière vérification ;</w:t>
      </w:r>
    </w:p>
    <w:p>
      <w:pPr>
        <w:pStyle w:val="ListBullet"/>
        <w:spacing w:after="40" w:line="250" w:lineRule="auto"/>
        <w:ind w:left="317" w:hanging="216"/>
      </w:pPr>
      <w:r>
        <w:rPr>
          <w:rFonts w:ascii="Aptos" w:hAnsi="Aptos"/>
          <w:color w:val="102A43"/>
          <w:sz w:val="19"/>
        </w:rPr>
        <w:t>tester les parcours complets sur mobile et au clavier ;</w:t>
      </w:r>
    </w:p>
    <w:p>
      <w:pPr>
        <w:pStyle w:val="ListBullet"/>
        <w:spacing w:after="40" w:line="250" w:lineRule="auto"/>
        <w:ind w:left="317" w:hanging="216"/>
      </w:pPr>
      <w:r>
        <w:rPr>
          <w:rFonts w:ascii="Aptos" w:hAnsi="Aptos"/>
          <w:color w:val="102A43"/>
          <w:sz w:val="19"/>
        </w:rPr>
        <w:t>finaliser les mentions légales, la politique de confidentialité et la déclaration d’accessibilité ;</w:t>
      </w:r>
    </w:p>
    <w:p>
      <w:pPr>
        <w:pStyle w:val="ListBullet"/>
        <w:spacing w:after="40" w:line="250" w:lineRule="auto"/>
        <w:ind w:left="317" w:hanging="216"/>
      </w:pPr>
      <w:r>
        <w:rPr>
          <w:rFonts w:ascii="Aptos" w:hAnsi="Aptos"/>
          <w:color w:val="102A43"/>
          <w:sz w:val="19"/>
        </w:rPr>
        <w:t>vérifier le calcul des scores, priorités, checklists et kits sur des profils de test ;</w:t>
      </w:r>
    </w:p>
    <w:p>
      <w:pPr>
        <w:pStyle w:val="ListBullet"/>
        <w:spacing w:after="40" w:line="250" w:lineRule="auto"/>
        <w:ind w:left="317" w:hanging="216"/>
      </w:pPr>
      <w:r>
        <w:rPr>
          <w:rFonts w:ascii="Aptos" w:hAnsi="Aptos"/>
          <w:color w:val="102A43"/>
          <w:sz w:val="19"/>
        </w:rPr>
        <w:t>configurer les statistiques agrégées sans profilage commercial ;</w:t>
      </w:r>
    </w:p>
    <w:p>
      <w:pPr>
        <w:pStyle w:val="ListBullet"/>
        <w:spacing w:after="40" w:line="250" w:lineRule="auto"/>
        <w:ind w:left="317" w:hanging="216"/>
      </w:pPr>
      <w:r>
        <w:rPr>
          <w:rFonts w:ascii="Aptos" w:hAnsi="Aptos"/>
          <w:color w:val="102A43"/>
          <w:sz w:val="19"/>
        </w:rPr>
        <w:t>activer l’assistant IA uniquement après validation de son corpus et de ses règles de refus ;</w:t>
      </w:r>
    </w:p>
    <w:p>
      <w:pPr>
        <w:pStyle w:val="ListBullet"/>
        <w:spacing w:after="40" w:line="250" w:lineRule="auto"/>
        <w:ind w:left="317" w:hanging="216"/>
      </w:pPr>
      <w:r>
        <w:rPr>
          <w:rFonts w:ascii="Aptos" w:hAnsi="Aptos"/>
          <w:color w:val="102A43"/>
          <w:sz w:val="19"/>
        </w:rPr>
        <w:t>documenter le canal de contact permettant de signaler une erreur ou proposer une correction.</w:t>
      </w:r>
    </w:p>
    <w:tbl>
      <w:tblPr>
        <w:tblW w:type="auto" w:w="0"/>
        <w:jc w:val="center"/>
        <w:tblLayout w:type="fixed"/>
        <w:tblLook w:firstColumn="1" w:firstRow="1" w:lastColumn="0" w:lastRow="0" w:noHBand="0" w:noVBand="1" w:val="04A0"/>
      </w:tblPr>
      <w:tblGrid>
        <w:gridCol w:w="173"/>
        <w:gridCol w:w="9288"/>
      </w:tblGrid>
      <w:tr>
        <w:tc>
          <w:tcPr>
            <w:tcW w:type="dxa" w:w="5184"/>
            <w:shd w:fill="008C95"/>
            <w:tcBorders>
              <w:top w:sz="6" w:val="single" w:color="CFE1E8"/>
              <w:left w:sz="6" w:val="single" w:color="CFE1E8"/>
              <w:bottom w:sz="6" w:val="single" w:color="CFE1E8"/>
              <w:right w:sz="6" w:val="single" w:color="CFE1E8"/>
            </w:tcBorders>
            <w:tcMar>
              <w:top w:w="70" w:type="dxa"/>
              <w:start w:w="90" w:type="dxa"/>
              <w:bottom w:w="70" w:type="dxa"/>
              <w:end w:w="90" w:type="dxa"/>
            </w:tcMar>
          </w:tcPr>
          <w:p/>
        </w:tc>
        <w:tc>
          <w:tcPr>
            <w:tcW w:type="dxa" w:w="5184"/>
            <w:shd w:fill="F4FAFB"/>
            <w:tcBorders>
              <w:top w:sz="6" w:val="single" w:color="CFE1E8"/>
              <w:left w:sz="6" w:val="single" w:color="CFE1E8"/>
              <w:bottom w:sz="6" w:val="single" w:color="CFE1E8"/>
              <w:right w:sz="6" w:val="single" w:color="CFE1E8"/>
            </w:tcBorders>
            <w:tcMar>
              <w:top w:w="70" w:type="dxa"/>
              <w:start w:w="90" w:type="dxa"/>
              <w:bottom w:w="70" w:type="dxa"/>
              <w:end w:w="90" w:type="dxa"/>
            </w:tcMar>
          </w:tcPr>
          <w:p>
            <w:pPr>
              <w:spacing w:after="20"/>
            </w:pPr>
            <w:r>
              <w:rPr>
                <w:rFonts w:ascii="Aptos" w:hAnsi="Aptos"/>
                <w:b/>
                <w:color w:val="008C95"/>
                <w:sz w:val="20"/>
              </w:rPr>
              <w:t>Engagement du porteur</w:t>
            </w:r>
          </w:p>
          <w:p>
            <w:pPr>
              <w:spacing w:after="0" w:line="250" w:lineRule="auto"/>
            </w:pPr>
            <w:r>
              <w:rPr>
                <w:rFonts w:ascii="Aptos" w:hAnsi="Aptos"/>
                <w:color w:val="102A43"/>
                <w:sz w:val="19"/>
              </w:rPr>
              <w:t>GT SAS s’engage à maintenir la gratuité du service dans le cadre du projet JNR 2026, à publier des informations sourcées et à corriger ou retirer sans délai tout contenu signalé comme inexact ou susceptible de créer un risque pour les utilisateurs.</w:t>
            </w:r>
          </w:p>
        </w:tc>
      </w:tr>
    </w:tbl>
    <w:p>
      <w:pPr>
        <w:spacing w:after="20"/>
      </w:pPr>
    </w:p>
    <w:p>
      <w:pPr>
        <w:keepNext/>
        <w:spacing w:before="100" w:after="40" w:line="257" w:lineRule="auto"/>
      </w:pPr>
      <w:r>
        <w:rPr>
          <w:rFonts w:ascii="Aptos" w:hAnsi="Aptos"/>
          <w:b/>
          <w:i w:val="0"/>
          <w:color w:val="008C95"/>
          <w:sz w:val="22"/>
        </w:rPr>
        <w:t>Références principales</w:t>
      </w:r>
    </w:p>
    <w:p>
      <w:pPr>
        <w:spacing w:after="40"/>
        <w:ind w:left="216" w:hanging="216"/>
      </w:pPr>
      <w:r>
        <w:rPr>
          <w:rFonts w:ascii="Aptos" w:hAnsi="Aptos"/>
          <w:b/>
          <w:color w:val="102A43"/>
          <w:sz w:val="17"/>
        </w:rPr>
        <w:t xml:space="preserve">• Règlement de l’appel à projets Journée nationale de la résilience 2026 : </w:t>
      </w:r>
      <w:r>
        <w:rPr>
          <w:rFonts w:ascii="Aptos" w:hAnsi="Aptos"/>
          <w:color w:val="008C95"/>
          <w:sz w:val="17"/>
        </w:rPr>
        <w:t>document joint au dossier - articles 2, 4 et 8</w:t>
      </w:r>
    </w:p>
    <w:p>
      <w:pPr>
        <w:spacing w:after="40"/>
        <w:ind w:left="216" w:hanging="216"/>
      </w:pPr>
      <w:r>
        <w:rPr>
          <w:rFonts w:ascii="Aptos" w:hAnsi="Aptos"/>
          <w:b/>
          <w:color w:val="102A43"/>
          <w:sz w:val="17"/>
        </w:rPr>
        <w:t xml:space="preserve">• Préfecture de Mayotte - Prévention des risques naturels : </w:t>
      </w:r>
      <w:r>
        <w:rPr>
          <w:rFonts w:ascii="Aptos" w:hAnsi="Aptos"/>
          <w:color w:val="008C95"/>
          <w:sz w:val="17"/>
        </w:rPr>
        <w:t>https://www.mayotte.gouv.fr/Actions-de-l-Etat/Prevention-des-risques-et-securite/Prevention-des-risques2/Risques-naturels</w:t>
      </w:r>
    </w:p>
    <w:p>
      <w:pPr>
        <w:spacing w:after="40"/>
        <w:ind w:left="216" w:hanging="216"/>
      </w:pPr>
      <w:r>
        <w:rPr>
          <w:rFonts w:ascii="Aptos" w:hAnsi="Aptos"/>
          <w:b/>
          <w:color w:val="102A43"/>
          <w:sz w:val="17"/>
        </w:rPr>
        <w:t xml:space="preserve">• Sécurité civile - Kit d’urgence 72 h : </w:t>
      </w:r>
      <w:r>
        <w:rPr>
          <w:rFonts w:ascii="Aptos" w:hAnsi="Aptos"/>
          <w:color w:val="008C95"/>
          <w:sz w:val="17"/>
        </w:rPr>
        <w:t>https://www.securite-civile.interieur.gouv.fr/reagir/comment-se-preparer-face-aux-risques/kit-durgence</w:t>
      </w:r>
    </w:p>
    <w:p>
      <w:pPr>
        <w:spacing w:after="40"/>
        <w:ind w:left="216" w:hanging="216"/>
      </w:pPr>
      <w:r>
        <w:rPr>
          <w:rFonts w:ascii="Aptos" w:hAnsi="Aptos"/>
          <w:b/>
          <w:color w:val="102A43"/>
          <w:sz w:val="17"/>
        </w:rPr>
        <w:t xml:space="preserve">• Ministère de l’Intérieur - FR-Alert : </w:t>
      </w:r>
      <w:r>
        <w:rPr>
          <w:rFonts w:ascii="Aptos" w:hAnsi="Aptos"/>
          <w:color w:val="008C95"/>
          <w:sz w:val="17"/>
        </w:rPr>
        <w:t>https://www.interieur.gouv.fr/actualites/actualites-du-ministere/fr-alert-etre-informe-en-temps-reel-pour-mieux-se-proteger</w:t>
      </w:r>
    </w:p>
    <w:p>
      <w:pPr>
        <w:spacing w:after="40"/>
        <w:ind w:left="216" w:hanging="216"/>
      </w:pPr>
      <w:r>
        <w:rPr>
          <w:rFonts w:ascii="Aptos" w:hAnsi="Aptos"/>
          <w:b/>
          <w:color w:val="102A43"/>
          <w:sz w:val="17"/>
        </w:rPr>
        <w:t xml:space="preserve">• Insee - Population de Mayotte au 1er janvier 2026 : </w:t>
      </w:r>
      <w:r>
        <w:rPr>
          <w:rFonts w:ascii="Aptos" w:hAnsi="Aptos"/>
          <w:color w:val="008C95"/>
          <w:sz w:val="17"/>
        </w:rPr>
        <w:t>https://www.insee.fr/fr/information/9022279</w:t>
      </w:r>
    </w:p>
    <w:sectPr w:rsidR="00FC693F" w:rsidRPr="0006063C" w:rsidSect="00034616">
      <w:headerReference w:type="default" r:id="rId9"/>
      <w:footerReference w:type="default" r:id="rId10"/>
      <w:pgSz w:w="12240" w:h="15840"/>
      <w:pgMar w:top="792" w:right="936" w:bottom="792" w:left="936"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456"/>
      <w:gridCol w:w="3168"/>
      <w:gridCol w:w="3384"/>
    </w:tblGrid>
    <w:tr>
      <w:tc>
        <w:tcPr>
          <w:tcW w:type="dxa" w:w="3336"/>
          <w:tcBorders>
            <w:top w:sz="6" w:val="single" w:color="CFE1E8"/>
          </w:tcBorders>
        </w:tcPr>
        <w:p>
          <w:r>
            <w:rPr>
              <w:rFonts w:ascii="Aptos" w:hAnsi="Aptos"/>
              <w:color w:val="52677A"/>
              <w:sz w:val="16"/>
            </w:rPr>
            <w:t>GT SAS - JNR 2026</w:t>
          </w:r>
        </w:p>
      </w:tc>
      <w:tc>
        <w:tcPr>
          <w:tcW w:type="dxa" w:w="3336"/>
          <w:tcBorders>
            <w:top w:sz="6" w:val="single" w:color="CFE1E8"/>
          </w:tcBorders>
        </w:tcPr>
        <w:p>
          <w:pPr>
            <w:jc w:val="center"/>
          </w:pPr>
          <w:r>
            <w:rPr>
              <w:rFonts w:ascii="Aptos" w:hAnsi="Aptos"/>
              <w:color w:val="008C95"/>
              <w:sz w:val="16"/>
            </w:rPr>
            <w:t>resilience-976.netlify.app</w:t>
          </w:r>
        </w:p>
      </w:tc>
      <w:tc>
        <w:tcPr>
          <w:tcW w:type="dxa" w:w="3336"/>
          <w:tcBorders>
            <w:top w:sz="6" w:val="single" w:color="CFE1E8"/>
          </w:tcBorders>
        </w:tcPr>
        <w:p>
          <w:pPr>
            <w:jc w:val="right"/>
          </w:pPr>
          <w:r>
            <w:rPr>
              <w:rFonts w:ascii="Aptos" w:hAnsi="Aptos"/>
              <w:color w:val="52677A"/>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040"/>
      <w:gridCol w:w="4968"/>
    </w:tblGrid>
    <w:tr>
      <w:tc>
        <w:tcPr>
          <w:tcW w:type="dxa" w:w="5004"/>
          <w:tcBorders>
            <w:bottom w:sz="8" w:val="single" w:color="CFE1E8"/>
          </w:tcBorders>
        </w:tcPr>
        <w:p>
          <w:r>
            <w:rPr>
              <w:rFonts w:ascii="Aptos" w:hAnsi="Aptos"/>
              <w:b/>
              <w:color w:val="102A43"/>
              <w:sz w:val="19"/>
            </w:rPr>
            <w:t>RÉSILIENCE 976</w:t>
          </w:r>
          <w:r>
            <w:rPr>
              <w:rFonts w:ascii="Aptos" w:hAnsi="Aptos"/>
              <w:color w:val="008C95"/>
              <w:sz w:val="18"/>
            </w:rPr>
            <w:t xml:space="preserve">  |  Mon Plan Résilience</w:t>
          </w:r>
        </w:p>
      </w:tc>
      <w:tc>
        <w:tcPr>
          <w:tcW w:type="dxa" w:w="5004"/>
          <w:tcBorders>
            <w:bottom w:sz="8" w:val="single" w:color="CFE1E8"/>
          </w:tcBorders>
        </w:tcPr>
        <w:p>
          <w:pPr>
            <w:jc w:val="right"/>
          </w:pPr>
          <w:r>
            <w:rPr>
              <w:rFonts w:ascii="Aptos" w:hAnsi="Aptos"/>
              <w:b/>
              <w:color w:val="52677A"/>
              <w:sz w:val="18"/>
            </w:rPr>
            <w:t>Annexe 03 - Conformité et impact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102A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8C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Plan Résilience 976 - Conformité, sources, accessibilité et impact</dc:title>
  <dc:subject>Annexe 03 au dossier JNR 2026</dc:subject>
  <dc:creator>GT SAS</dc:creator>
  <cp:keywords>JNR 2026, Mayotte, résilience, accessibilité, sources, confidentialité, impact</cp:keywords>
  <dc:description>generated by python-docx</dc:description>
  <cp:lastModifiedBy/>
  <cp:revision>1</cp:revision>
  <dcterms:created xsi:type="dcterms:W3CDTF">2013-12-23T23:15:00Z</dcterms:created>
  <dcterms:modified xsi:type="dcterms:W3CDTF">2013-12-23T23:15:00Z</dcterms:modified>
  <cp:category/>
</cp:coreProperties>
</file>