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LexCV — Especificação de Arquitetura</w:t>
      </w:r>
    </w:p>
    <w:p>
      <w:pPr>
        <w:pStyle w:val="ListBullet"/>
      </w:pPr>
      <w:r>
        <w:rPr>
          <w:b/>
        </w:rPr>
        <w:t>Documento:</w:t>
      </w:r>
      <w:r>
        <w:rPr/>
        <w:t xml:space="preserve"> Especificação de Arquitetura (descrição técnica para o contratante)</w:t>
      </w:r>
    </w:p>
    <w:p>
      <w:pPr>
        <w:pStyle w:val="ListBullet"/>
      </w:pPr>
      <w:r>
        <w:rPr>
          <w:b/>
        </w:rPr>
        <w:t>Produto:</w:t>
      </w:r>
      <w:r>
        <w:rPr/>
        <w:t xml:space="preserve"> LexCV — Plataforma Institucional de Gestão Jurídica</w:t>
      </w:r>
    </w:p>
    <w:p>
      <w:pPr>
        <w:pStyle w:val="ListBullet"/>
      </w:pPr>
      <w:r>
        <w:rPr>
          <w:b/>
        </w:rPr>
        <w:t>Destinatário:</w:t>
      </w:r>
      <w:r>
        <w:rPr/>
        <w:t xml:space="preserve"> Entidade contratante e respetivo responsável de sistemas</w:t>
      </w:r>
    </w:p>
    <w:p>
      <w:pPr>
        <w:pStyle w:val="ListBullet"/>
      </w:pPr>
      <w:r>
        <w:rPr>
          <w:b/>
        </w:rPr>
        <w:t>Versão do produto descrita:</w:t>
      </w:r>
      <w:r>
        <w:rPr/>
        <w:t xml:space="preserve"> v2.16, encerrada a 30 de julho de 2026</w:t>
      </w:r>
    </w:p>
    <w:p>
      <w:pPr>
        <w:pStyle w:val="ListBullet"/>
      </w:pPr>
      <w:r>
        <w:rPr>
          <w:b/>
        </w:rPr>
        <w:t>Data de emissão:</w:t>
      </w:r>
      <w:r>
        <w:rPr/>
        <w:t xml:space="preserve"> agosto de 2026</w:t>
      </w:r>
    </w:p>
    <w:p>
      <w:pPr>
        <w:spacing w:before="120" w:after="200" w:line="276" w:lineRule="auto"/>
        <w:ind w:left="340"/>
        <w:pBdr>
          <w:left w:val="single" w:sz="18" w:space="8" w:color="1B4D8F"/>
        </w:pBdr>
      </w:pPr>
      <w:r>
        <w:rPr/>
        <w:t>Este documento descreve a arquitetura em texto, sem diagramas. Destina-se a um leitor técnico do lado do contratante — responsável de sistemas, auditor ou consultor — e não à equipa de desenvolvimento. O LexCV é uma plataforma institucional de gestão jurídica para Cabo Verde (clientes, processos, agenda e prazos, documentos e honorários), que serve vários escritórios a partir da mesma instalação.</w:t>
      </w:r>
    </w:p>
    <w:p>
      <w:pPr>
        <w:spacing w:before="40" w:after="160"/>
        <w:pBdr>
          <w:bottom w:val="single" w:sz="6" w:space="1" w:color="B8C4D4"/>
        </w:pBdr>
      </w:pPr>
    </w:p>
    <w:p>
      <w:pPr>
        <w:pStyle w:val="Heading2"/>
      </w:pPr>
      <w:r>
        <w:rPr>
          <w:b/>
        </w:rPr>
        <w:t>1. Visão geral</w:t>
      </w:r>
    </w:p>
    <w:p>
      <w:pPr>
        <w:jc w:val="both"/>
      </w:pPr>
      <w:r>
        <w:rPr/>
        <w:t xml:space="preserve">O LexCV é composto por </w:t>
      </w:r>
      <w:r>
        <w:rPr>
          <w:b/>
        </w:rPr>
        <w:t>seis serviços</w:t>
      </w:r>
      <w:r>
        <w:rPr/>
        <w:t xml:space="preserve"> que correm em conjunto no mesmo servidor, cada um em contentor próprio, ligados por uma rede privada interna. Apenas um deles está exposto à Internet.</w:t>
      </w:r>
    </w:p>
    <w:tbl>
      <w:tblPr>
        <w:tblStyle w:val="TableGrid"/>
        <w:tblW w:type="auto" w:w="0"/>
        <w:jc w:val="center"/>
        <w:tblLayout w:type="autofit"/>
        <w:tblLook w:firstColumn="1" w:firstRow="1" w:lastColumn="0" w:lastRow="0" w:noHBand="0" w:noVBand="1" w:val="04A0"/>
      </w:tblPr>
      <w:tblGrid>
        <w:gridCol w:w="3057"/>
        <w:gridCol w:w="3057"/>
        <w:gridCol w:w="3057"/>
      </w:tblGrid>
      <w:tr>
        <w:trPr>
          <w:tblHeader/>
        </w:trPr>
        <w:tc>
          <w:tcPr>
            <w:tcW w:type="dxa" w:w="584"/>
            <w:shd w:val="clear" w:color="auto" w:fill="E8EEF6"/>
          </w:tcPr>
          <w:p>
            <w:pPr>
              <w:spacing w:after="40" w:line="240" w:lineRule="auto"/>
            </w:pPr>
            <w:r>
              <w:rPr>
                <w:b/>
                <w:sz w:val="20"/>
              </w:rPr>
              <w:t>#</w:t>
            </w:r>
          </w:p>
        </w:tc>
        <w:tc>
          <w:tcPr>
            <w:tcW w:type="dxa" w:w="2024"/>
            <w:shd w:val="clear" w:color="auto" w:fill="E8EEF6"/>
          </w:tcPr>
          <w:p>
            <w:pPr>
              <w:spacing w:after="40" w:line="240" w:lineRule="auto"/>
            </w:pPr>
            <w:r>
              <w:rPr>
                <w:b/>
                <w:sz w:val="20"/>
              </w:rPr>
              <w:t>Serviço</w:t>
            </w:r>
          </w:p>
        </w:tc>
        <w:tc>
          <w:tcPr>
            <w:tcW w:type="dxa" w:w="6560"/>
            <w:shd w:val="clear" w:color="auto" w:fill="E8EEF6"/>
          </w:tcPr>
          <w:p>
            <w:pPr>
              <w:spacing w:after="40" w:line="240" w:lineRule="auto"/>
            </w:pPr>
            <w:r>
              <w:rPr>
                <w:b/>
                <w:sz w:val="20"/>
              </w:rPr>
              <w:t>Papel</w:t>
            </w:r>
          </w:p>
        </w:tc>
      </w:tr>
      <w:tr>
        <w:tc>
          <w:tcPr>
            <w:tcW w:type="dxa" w:w="584"/>
          </w:tcPr>
          <w:p>
            <w:pPr>
              <w:spacing w:after="40" w:line="240" w:lineRule="auto"/>
            </w:pPr>
            <w:r>
              <w:rPr>
                <w:sz w:val="20"/>
              </w:rPr>
              <w:t>1</w:t>
            </w:r>
          </w:p>
        </w:tc>
        <w:tc>
          <w:tcPr>
            <w:tcW w:type="dxa" w:w="2024"/>
          </w:tcPr>
          <w:p>
            <w:pPr>
              <w:spacing w:after="40" w:line="240" w:lineRule="auto"/>
            </w:pPr>
            <w:r>
              <w:rPr>
                <w:b/>
                <w:sz w:val="20"/>
              </w:rPr>
              <w:t>caddy</w:t>
            </w:r>
          </w:p>
        </w:tc>
        <w:tc>
          <w:tcPr>
            <w:tcW w:type="dxa" w:w="6560"/>
          </w:tcPr>
          <w:p>
            <w:pPr>
              <w:spacing w:after="40" w:line="240" w:lineRule="auto"/>
            </w:pPr>
            <w:r>
              <w:rPr>
                <w:sz w:val="20"/>
              </w:rPr>
              <w:t>Porta de entrada. Termina o HTTPS e encaminha cada pedido para o serviço certo. É o único serviço exposto à Internet.</w:t>
            </w:r>
          </w:p>
        </w:tc>
      </w:tr>
      <w:tr>
        <w:tc>
          <w:tcPr>
            <w:tcW w:type="dxa" w:w="584"/>
          </w:tcPr>
          <w:p>
            <w:pPr>
              <w:spacing w:after="40" w:line="240" w:lineRule="auto"/>
            </w:pPr>
            <w:r>
              <w:rPr>
                <w:sz w:val="20"/>
              </w:rPr>
              <w:t>2</w:t>
            </w:r>
          </w:p>
        </w:tc>
        <w:tc>
          <w:tcPr>
            <w:tcW w:type="dxa" w:w="2024"/>
          </w:tcPr>
          <w:p>
            <w:pPr>
              <w:spacing w:after="40" w:line="240" w:lineRule="auto"/>
            </w:pPr>
            <w:r>
              <w:rPr>
                <w:b/>
                <w:sz w:val="20"/>
              </w:rPr>
              <w:t>webpage</w:t>
            </w:r>
          </w:p>
        </w:tc>
        <w:tc>
          <w:tcPr>
            <w:tcW w:type="dxa" w:w="6560"/>
          </w:tcPr>
          <w:p>
            <w:pPr>
              <w:spacing w:after="40" w:line="240" w:lineRule="auto"/>
            </w:pPr>
            <w:r>
              <w:rPr>
                <w:sz w:val="20"/>
              </w:rPr>
              <w:t>Página pública institucional, servida na raiz do domínio.</w:t>
            </w:r>
          </w:p>
        </w:tc>
      </w:tr>
      <w:tr>
        <w:tc>
          <w:tcPr>
            <w:tcW w:type="dxa" w:w="584"/>
          </w:tcPr>
          <w:p>
            <w:pPr>
              <w:spacing w:after="40" w:line="240" w:lineRule="auto"/>
            </w:pPr>
            <w:r>
              <w:rPr>
                <w:sz w:val="20"/>
              </w:rPr>
              <w:t>3</w:t>
            </w:r>
          </w:p>
        </w:tc>
        <w:tc>
          <w:tcPr>
            <w:tcW w:type="dxa" w:w="2024"/>
          </w:tcPr>
          <w:p>
            <w:pPr>
              <w:spacing w:after="40" w:line="240" w:lineRule="auto"/>
            </w:pPr>
            <w:r>
              <w:rPr>
                <w:b/>
                <w:sz w:val="20"/>
              </w:rPr>
              <w:t>frontend</w:t>
            </w:r>
          </w:p>
        </w:tc>
        <w:tc>
          <w:tcPr>
            <w:tcW w:type="dxa" w:w="6560"/>
          </w:tcPr>
          <w:p>
            <w:pPr>
              <w:spacing w:after="40" w:line="240" w:lineRule="auto"/>
            </w:pPr>
            <w:r>
              <w:rPr>
                <w:sz w:val="20"/>
              </w:rPr>
              <w:t>Aplicação de gestão (a plataforma propriamente dita), acedida pelos utilizadores autenticados.</w:t>
            </w:r>
          </w:p>
        </w:tc>
      </w:tr>
      <w:tr>
        <w:tc>
          <w:tcPr>
            <w:tcW w:type="dxa" w:w="584"/>
          </w:tcPr>
          <w:p>
            <w:pPr>
              <w:spacing w:after="40" w:line="240" w:lineRule="auto"/>
            </w:pPr>
            <w:r>
              <w:rPr>
                <w:sz w:val="20"/>
              </w:rPr>
              <w:t>4</w:t>
            </w:r>
          </w:p>
        </w:tc>
        <w:tc>
          <w:tcPr>
            <w:tcW w:type="dxa" w:w="2024"/>
          </w:tcPr>
          <w:p>
            <w:pPr>
              <w:spacing w:after="40" w:line="240" w:lineRule="auto"/>
            </w:pPr>
            <w:r>
              <w:rPr>
                <w:b/>
                <w:sz w:val="20"/>
              </w:rPr>
              <w:t>backend</w:t>
            </w:r>
          </w:p>
        </w:tc>
        <w:tc>
          <w:tcPr>
            <w:tcW w:type="dxa" w:w="6560"/>
          </w:tcPr>
          <w:p>
            <w:pPr>
              <w:spacing w:after="40" w:line="240" w:lineRule="auto"/>
            </w:pPr>
            <w:r>
              <w:rPr>
                <w:sz w:val="20"/>
              </w:rPr>
              <w:t>Servidor de negócio. Concentra todas as regras, validações e verificações de acesso, e disponibiliza-as à aplicação de gestão.</w:t>
            </w:r>
          </w:p>
        </w:tc>
      </w:tr>
      <w:tr>
        <w:tc>
          <w:tcPr>
            <w:tcW w:type="dxa" w:w="584"/>
          </w:tcPr>
          <w:p>
            <w:pPr>
              <w:spacing w:after="40" w:line="240" w:lineRule="auto"/>
            </w:pPr>
            <w:r>
              <w:rPr>
                <w:sz w:val="20"/>
              </w:rPr>
              <w:t>5</w:t>
            </w:r>
          </w:p>
        </w:tc>
        <w:tc>
          <w:tcPr>
            <w:tcW w:type="dxa" w:w="2024"/>
          </w:tcPr>
          <w:p>
            <w:pPr>
              <w:spacing w:after="40" w:line="240" w:lineRule="auto"/>
            </w:pPr>
            <w:r>
              <w:rPr>
                <w:b/>
                <w:sz w:val="20"/>
              </w:rPr>
              <w:t>postgres</w:t>
            </w:r>
          </w:p>
        </w:tc>
        <w:tc>
          <w:tcPr>
            <w:tcW w:type="dxa" w:w="6560"/>
          </w:tcPr>
          <w:p>
            <w:pPr>
              <w:spacing w:after="40" w:line="240" w:lineRule="auto"/>
            </w:pPr>
            <w:r>
              <w:rPr>
                <w:sz w:val="20"/>
              </w:rPr>
              <w:t>Base de dados relacional. Guarda todos os dados de negócio.</w:t>
            </w:r>
          </w:p>
        </w:tc>
      </w:tr>
      <w:tr>
        <w:tc>
          <w:tcPr>
            <w:tcW w:type="dxa" w:w="584"/>
          </w:tcPr>
          <w:p>
            <w:pPr>
              <w:spacing w:after="40" w:line="240" w:lineRule="auto"/>
            </w:pPr>
            <w:r>
              <w:rPr>
                <w:sz w:val="20"/>
              </w:rPr>
              <w:t>6</w:t>
            </w:r>
          </w:p>
        </w:tc>
        <w:tc>
          <w:tcPr>
            <w:tcW w:type="dxa" w:w="2024"/>
          </w:tcPr>
          <w:p>
            <w:pPr>
              <w:spacing w:after="40" w:line="240" w:lineRule="auto"/>
            </w:pPr>
            <w:r>
              <w:rPr>
                <w:b/>
                <w:sz w:val="20"/>
              </w:rPr>
              <w:t>minio</w:t>
            </w:r>
          </w:p>
        </w:tc>
        <w:tc>
          <w:tcPr>
            <w:tcW w:type="dxa" w:w="6560"/>
          </w:tcPr>
          <w:p>
            <w:pPr>
              <w:spacing w:after="40" w:line="240" w:lineRule="auto"/>
            </w:pPr>
            <w:r>
              <w:rPr>
                <w:sz w:val="20"/>
              </w:rPr>
              <w:t>Armazenamento de objetos. Guarda os ficheiros carregados (documentos e anexos de parecer).</w:t>
            </w:r>
          </w:p>
        </w:tc>
      </w:tr>
    </w:tbl>
    <w:p>
      <w:pPr>
        <w:spacing w:after="80" w:line="240" w:lineRule="auto"/>
      </w:pPr>
    </w:p>
    <w:p>
      <w:pPr>
        <w:jc w:val="both"/>
      </w:pPr>
      <w:r>
        <w:rPr/>
        <w:t xml:space="preserve">Os nomes da coluna "Serviço" são os nomes técnicos dos contentores, tal como aparecem na configuração da instalação. No restante do documento, </w:t>
      </w:r>
      <w:r>
        <w:rPr>
          <w:rFonts w:ascii="Consolas" w:hAnsi="Consolas" w:cs="Consolas"/>
          <w:color w:val="0F2744"/>
          <w:sz w:val="20"/>
        </w:rPr>
        <w:t>frontend</w:t>
      </w:r>
      <w:r>
        <w:rPr/>
        <w:t xml:space="preserve"> designa a aplicação de gestão e </w:t>
      </w:r>
      <w:r>
        <w:rPr>
          <w:rFonts w:ascii="Consolas" w:hAnsi="Consolas" w:cs="Consolas"/>
          <w:color w:val="0F2744"/>
          <w:sz w:val="20"/>
        </w:rPr>
        <w:t>backend</w:t>
      </w:r>
      <w:r>
        <w:rPr/>
        <w:t xml:space="preserve"> designa o servidor de negócio.</w:t>
      </w:r>
    </w:p>
    <w:p>
      <w:pPr>
        <w:jc w:val="both"/>
      </w:pPr>
      <w:r>
        <w:rPr/>
        <w:t xml:space="preserve">Nenhum destes serviços, exceto o </w:t>
      </w:r>
      <w:r>
        <w:rPr>
          <w:rFonts w:ascii="Consolas" w:hAnsi="Consolas" w:cs="Consolas"/>
          <w:color w:val="0F2744"/>
          <w:sz w:val="20"/>
        </w:rPr>
        <w:t>caddy</w:t>
      </w:r>
      <w:r>
        <w:rPr/>
        <w:t>, precisa de estar acessível a partir do exterior.</w:t>
      </w:r>
    </w:p>
    <w:p>
      <w:pPr>
        <w:spacing w:before="40" w:after="160"/>
        <w:pBdr>
          <w:bottom w:val="single" w:sz="6" w:space="1" w:color="B8C4D4"/>
        </w:pBdr>
      </w:pPr>
    </w:p>
    <w:p>
      <w:pPr>
        <w:pStyle w:val="Heading2"/>
      </w:pPr>
      <w:r>
        <w:rPr>
          <w:b/>
        </w:rPr>
        <w:t>2. Camada de apresentação</w:t>
      </w:r>
    </w:p>
    <w:p>
      <w:pPr>
        <w:pStyle w:val="Heading3"/>
      </w:pPr>
      <w:r>
        <w:rPr>
          <w:b/>
        </w:rPr>
        <w:t>2.1 Aplicação de gestão (</w:t>
      </w:r>
      <w:r>
        <w:rPr>
          <w:rFonts w:ascii="Consolas" w:hAnsi="Consolas" w:cs="Consolas"/>
          <w:b/>
          <w:color w:val="0F2744"/>
          <w:sz w:val="20"/>
        </w:rPr>
        <w:t>frontend</w:t>
      </w:r>
      <w:r>
        <w:rPr>
          <w:b/>
        </w:rPr>
        <w:t>)</w:t>
      </w:r>
    </w:p>
    <w:p>
      <w:pPr>
        <w:pStyle w:val="ListBullet"/>
      </w:pPr>
      <w:r>
        <w:rPr/>
        <w:t xml:space="preserve">Construída em </w:t>
      </w:r>
      <w:r>
        <w:rPr>
          <w:b/>
        </w:rPr>
        <w:t>Next.js 16</w:t>
      </w:r>
      <w:r>
        <w:rPr/>
        <w:t xml:space="preserve"> (App Router) com </w:t>
      </w:r>
      <w:r>
        <w:rPr>
          <w:b/>
        </w:rPr>
        <w:t>React 19</w:t>
      </w:r>
      <w:r>
        <w:rPr/>
        <w:t>, em TypeScript.</w:t>
      </w:r>
    </w:p>
    <w:p>
      <w:pPr>
        <w:pStyle w:val="ListBullet"/>
      </w:pPr>
      <w:r>
        <w:rPr/>
        <w:t>Renderização mista: parte no servidor, parte no navegador.</w:t>
      </w:r>
    </w:p>
    <w:p>
      <w:pPr>
        <w:pStyle w:val="ListBullet"/>
      </w:pPr>
      <w:r>
        <w:rPr/>
        <w:t>Interface responsiva, com modo claro e escuro.</w:t>
      </w:r>
    </w:p>
    <w:p>
      <w:pPr>
        <w:pStyle w:val="ListBullet"/>
      </w:pPr>
      <w:r>
        <w:rPr/>
        <w:t>Sistema de componentes único, assente em primitivos acessíveis (menus, separadores, diálogos, calendário, paleta de comandos, tabelas).</w:t>
      </w:r>
    </w:p>
    <w:p>
      <w:pPr>
        <w:pStyle w:val="ListBullet"/>
      </w:pPr>
      <w:r>
        <w:rPr/>
        <w:t>Toda a obtenção de dados passa por uma camada única de acesso à API, com colocação em cache, revalidação e tratamento uniforme de erros.</w:t>
      </w:r>
    </w:p>
    <w:p>
      <w:pPr>
        <w:pStyle w:val="ListBullet"/>
      </w:pPr>
      <w:r>
        <w:rPr/>
        <w:t xml:space="preserve">Os formulários validam os dados no navegador antes de submeter. Esta validação é uma conveniência para o utilizador — </w:t>
      </w:r>
      <w:r>
        <w:rPr>
          <w:b/>
        </w:rPr>
        <w:t>a validação que conta é a do servidor</w:t>
      </w:r>
      <w:r>
        <w:rPr/>
        <w:t>, que é sempre repetida.</w:t>
      </w:r>
    </w:p>
    <w:p>
      <w:pPr>
        <w:pStyle w:val="Heading3"/>
      </w:pPr>
      <w:r>
        <w:rPr>
          <w:b/>
        </w:rPr>
        <w:t>2.2 Página pública (</w:t>
      </w:r>
      <w:r>
        <w:rPr>
          <w:rFonts w:ascii="Consolas" w:hAnsi="Consolas" w:cs="Consolas"/>
          <w:b/>
          <w:color w:val="0F2744"/>
          <w:sz w:val="20"/>
        </w:rPr>
        <w:t>webpage</w:t>
      </w:r>
      <w:r>
        <w:rPr>
          <w:b/>
        </w:rPr>
        <w:t>)</w:t>
      </w:r>
    </w:p>
    <w:p>
      <w:pPr>
        <w:pStyle w:val="ListBullet"/>
      </w:pPr>
      <w:r>
        <w:rPr/>
        <w:t xml:space="preserve">Aplicação </w:t>
      </w:r>
      <w:r>
        <w:rPr>
          <w:b/>
        </w:rPr>
        <w:t>Next.js 16</w:t>
      </w:r>
      <w:r>
        <w:rPr/>
        <w:t xml:space="preserve"> separada e independente da aplicação de gestão.</w:t>
      </w:r>
    </w:p>
    <w:p>
      <w:pPr>
        <w:pStyle w:val="ListBullet"/>
      </w:pPr>
      <w:r>
        <w:rPr/>
        <w:t>Serve o sítio institucional na raiz do domínio.</w:t>
      </w:r>
    </w:p>
    <w:p>
      <w:pPr>
        <w:pStyle w:val="ListBullet"/>
      </w:pPr>
      <w:r>
        <w:rPr/>
        <w:t>Não partilha sessão nem estado de autenticação com a aplicação de gestão.</w:t>
      </w:r>
    </w:p>
    <w:p>
      <w:pPr>
        <w:pStyle w:val="ListBullet"/>
      </w:pPr>
      <w:r>
        <w:rPr/>
        <w:t>Lê a identificação de marca da plataforma através de um único ponto público de leitura, sem autenticação e sem cookies.</w:t>
      </w:r>
    </w:p>
    <w:p>
      <w:pPr>
        <w:pStyle w:val="ListBullet"/>
      </w:pPr>
      <w:r>
        <w:rPr/>
        <w:t>As duas aplicações coexistem no mesmo domínio através do mecanismo de multi-zonas do Next.js, que atribui a cada uma um prefixo próprio para os seus ficheiros estáticos, evitando colisões.</w:t>
      </w:r>
    </w:p>
    <w:p>
      <w:pPr>
        <w:spacing w:before="40" w:after="160"/>
        <w:pBdr>
          <w:bottom w:val="single" w:sz="6" w:space="1" w:color="B8C4D4"/>
        </w:pBdr>
      </w:pPr>
    </w:p>
    <w:p>
      <w:pPr>
        <w:pStyle w:val="Heading2"/>
      </w:pPr>
      <w:r>
        <w:rPr>
          <w:b/>
        </w:rPr>
        <w:t>3. Camada de aplicação — servidor de negócio (</w:t>
      </w:r>
      <w:r>
        <w:rPr>
          <w:rFonts w:ascii="Consolas" w:hAnsi="Consolas" w:cs="Consolas"/>
          <w:b/>
          <w:color w:val="0F2744"/>
          <w:sz w:val="20"/>
        </w:rPr>
        <w:t>backend</w:t>
      </w:r>
      <w:r>
        <w:rPr>
          <w:b/>
        </w:rPr>
        <w:t>)</w:t>
      </w:r>
    </w:p>
    <w:p>
      <w:pPr>
        <w:pStyle w:val="ListBullet"/>
      </w:pPr>
      <w:r>
        <w:rPr>
          <w:b/>
        </w:rPr>
        <w:t>Spring Boot 3.4.1</w:t>
      </w:r>
      <w:r>
        <w:rPr/>
        <w:t xml:space="preserve"> sobre </w:t>
      </w:r>
      <w:r>
        <w:rPr>
          <w:b/>
        </w:rPr>
        <w:t>Java 23</w:t>
      </w:r>
      <w:r>
        <w:rPr/>
        <w:t>, construído com Maven.</w:t>
      </w:r>
    </w:p>
    <w:p>
      <w:pPr>
        <w:pStyle w:val="ListBullet"/>
      </w:pPr>
      <w:r>
        <w:rPr/>
        <w:t xml:space="preserve">Expõe uma API REST sob o prefixo </w:t>
      </w:r>
      <w:r>
        <w:rPr>
          <w:rFonts w:ascii="Consolas" w:hAnsi="Consolas" w:cs="Consolas"/>
          <w:color w:val="0F2744"/>
          <w:sz w:val="20"/>
        </w:rPr>
        <w:t>/api/v1</w:t>
      </w:r>
      <w:r>
        <w:rPr/>
        <w:t>.</w:t>
      </w:r>
    </w:p>
    <w:p>
      <w:pPr>
        <w:pStyle w:val="ListBullet"/>
      </w:pPr>
      <w:r>
        <w:rPr/>
        <w:t>Organização interna por responsabilidade: controladores (pontos de entrada HTTP), serviços (regras de negócio), repositórios (acesso a dados), modelos (entidades) e objetos de transferência de dados.</w:t>
      </w:r>
    </w:p>
    <w:p>
      <w:pPr>
        <w:pStyle w:val="ListBullet"/>
      </w:pPr>
      <w:r>
        <w:rPr/>
        <w:t>Persistência por JPA/Hibernate.</w:t>
      </w:r>
    </w:p>
    <w:p>
      <w:pPr>
        <w:pStyle w:val="ListBullet"/>
      </w:pPr>
      <w:r>
        <w:rPr/>
        <w:t>Áreas funcionais servidas: clientes, processos e respetivas partes, fases, movimentações, decisões, factos e testemunhas; eventos e prazos; documentos; honorários e pagamentos; indicadores do painel; pareceres; notificações; pesquisa global; administração do escritório; administração da plataforma; arranque inicial; e leitura pública de marca.</w:t>
      </w:r>
    </w:p>
    <w:p>
      <w:pPr>
        <w:pStyle w:val="ListBullet"/>
      </w:pPr>
      <w:r>
        <w:rPr>
          <w:b/>
        </w:rPr>
        <w:t>Trabalho agendado:</w:t>
      </w:r>
      <w:r>
        <w:rPr/>
        <w:t xml:space="preserve"> um processamento diário corre às 06:00 no fuso </w:t>
      </w:r>
      <w:r>
        <w:rPr>
          <w:rFonts w:ascii="Consolas" w:hAnsi="Consolas" w:cs="Consolas"/>
          <w:color w:val="0F2744"/>
          <w:sz w:val="20"/>
        </w:rPr>
        <w:t>Atlantic/Cape_Verde</w:t>
      </w:r>
      <w:r>
        <w:rPr/>
        <w:t xml:space="preserve"> e gera os alertas de prazos, eventos e honorários. É tolerante a falhas por entidade — um erro numa entidade não interrompe o processamento das restantes — e não repete alertas já emitidos.</w:t>
      </w:r>
    </w:p>
    <w:p>
      <w:pPr>
        <w:spacing w:before="40" w:after="160"/>
        <w:pBdr>
          <w:bottom w:val="single" w:sz="6" w:space="1" w:color="B8C4D4"/>
        </w:pBdr>
      </w:pPr>
    </w:p>
    <w:p>
      <w:pPr>
        <w:pStyle w:val="Heading2"/>
      </w:pPr>
      <w:r>
        <w:rPr>
          <w:b/>
        </w:rPr>
        <w:t>4. Comunicação entre o navegador e o servidor</w:t>
      </w:r>
    </w:p>
    <w:p>
      <w:pPr>
        <w:jc w:val="both"/>
      </w:pPr>
      <w:r>
        <w:rPr/>
        <w:t xml:space="preserve">O navegador </w:t>
      </w:r>
      <w:r>
        <w:rPr>
          <w:b/>
        </w:rPr>
        <w:t xml:space="preserve">nunca contacta diretamente o serviço </w:t>
      </w:r>
      <w:r>
        <w:rPr>
          <w:rFonts w:ascii="Consolas" w:hAnsi="Consolas" w:cs="Consolas"/>
          <w:b/>
          <w:color w:val="0F2744"/>
          <w:sz w:val="20"/>
        </w:rPr>
        <w:t>backend</w:t>
      </w:r>
      <w:r>
        <w:rPr/>
        <w:t>.</w:t>
      </w:r>
    </w:p>
    <w:p>
      <w:pPr>
        <w:pStyle w:val="ListNumber"/>
      </w:pPr>
      <w:r>
        <w:rPr/>
        <w:t xml:space="preserve">A aplicação de gestão declara uma reescrita de rota: todos os pedidos para </w:t>
      </w:r>
      <w:r>
        <w:rPr>
          <w:rFonts w:ascii="Consolas" w:hAnsi="Consolas" w:cs="Consolas"/>
          <w:color w:val="0F2744"/>
          <w:sz w:val="20"/>
        </w:rPr>
        <w:t>/api/v1/...</w:t>
      </w:r>
      <w:r>
        <w:rPr/>
        <w:t xml:space="preserve"> são reencaminhados internamente para o endereço do serviço </w:t>
      </w:r>
      <w:r>
        <w:rPr>
          <w:rFonts w:ascii="Consolas" w:hAnsi="Consolas" w:cs="Consolas"/>
          <w:color w:val="0F2744"/>
          <w:sz w:val="20"/>
        </w:rPr>
        <w:t>backend</w:t>
      </w:r>
      <w:r>
        <w:rPr/>
        <w:t>.</w:t>
      </w:r>
    </w:p>
    <w:p>
      <w:pPr>
        <w:pStyle w:val="ListNumber"/>
      </w:pPr>
      <w:r>
        <w:rPr/>
        <w:t xml:space="preserve">Para o navegador, a API vive na </w:t>
      </w:r>
      <w:r>
        <w:rPr>
          <w:b/>
        </w:rPr>
        <w:t>mesma origem</w:t>
      </w:r>
      <w:r>
        <w:rPr/>
        <w:t xml:space="preserve"> que a aplicação.</w:t>
      </w:r>
    </w:p>
    <w:p>
      <w:pPr>
        <w:pStyle w:val="ListNumber"/>
      </w:pPr>
      <w:r>
        <w:rPr/>
        <w:t xml:space="preserve">O endereço interno do </w:t>
      </w:r>
      <w:r>
        <w:rPr>
          <w:rFonts w:ascii="Consolas" w:hAnsi="Consolas" w:cs="Consolas"/>
          <w:color w:val="0F2744"/>
          <w:sz w:val="20"/>
        </w:rPr>
        <w:t>backend</w:t>
      </w:r>
      <w:r>
        <w:rPr/>
        <w:t xml:space="preserve"> é configuração de servidor e nunca chega ao navegador.</w:t>
      </w:r>
    </w:p>
    <w:p>
      <w:pPr>
        <w:jc w:val="both"/>
      </w:pPr>
      <w:r>
        <w:rPr/>
        <w:t>Consequências práticas:</w:t>
      </w:r>
    </w:p>
    <w:p>
      <w:pPr>
        <w:pStyle w:val="ListBullet"/>
      </w:pPr>
      <w:r>
        <w:rPr/>
        <w:t>Não há partilha de recursos entre origens diferentes no caminho normal de utilização, o que reduz a superfície de ataque.</w:t>
      </w:r>
    </w:p>
    <w:p>
      <w:pPr>
        <w:pStyle w:val="ListBullet"/>
      </w:pPr>
      <w:r>
        <w:rPr/>
        <w:t>Os cookies de sessão são cookies de primeira parte, o que os torna imunes às políticas de bloqueio de cookies de terceiros.</w:t>
      </w:r>
    </w:p>
    <w:p>
      <w:pPr>
        <w:pStyle w:val="ListBullet"/>
      </w:pPr>
      <w:r>
        <w:rPr/>
        <w:t xml:space="preserve">Em produção, o </w:t>
      </w:r>
      <w:r>
        <w:rPr>
          <w:rFonts w:ascii="Consolas" w:hAnsi="Consolas" w:cs="Consolas"/>
          <w:color w:val="0F2744"/>
          <w:sz w:val="20"/>
        </w:rPr>
        <w:t>caddy</w:t>
      </w:r>
      <w:r>
        <w:rPr/>
        <w:t xml:space="preserve"> faz o encaminhamento equivalente: os pedidos para </w:t>
      </w:r>
      <w:r>
        <w:rPr>
          <w:rFonts w:ascii="Consolas" w:hAnsi="Consolas" w:cs="Consolas"/>
          <w:color w:val="0F2744"/>
          <w:sz w:val="20"/>
        </w:rPr>
        <w:t>/api/*</w:t>
      </w:r>
      <w:r>
        <w:rPr/>
        <w:t xml:space="preserve"> vão para o </w:t>
      </w:r>
      <w:r>
        <w:rPr>
          <w:rFonts w:ascii="Consolas" w:hAnsi="Consolas" w:cs="Consolas"/>
          <w:color w:val="0F2744"/>
          <w:sz w:val="20"/>
        </w:rPr>
        <w:t>backend</w:t>
      </w:r>
      <w:r>
        <w:rPr/>
        <w:t xml:space="preserve">; a raiz </w:t>
      </w:r>
      <w:r>
        <w:rPr>
          <w:rFonts w:ascii="Consolas" w:hAnsi="Consolas" w:cs="Consolas"/>
          <w:color w:val="0F2744"/>
          <w:sz w:val="20"/>
        </w:rPr>
        <w:t>/</w:t>
      </w:r>
      <w:r>
        <w:rPr/>
        <w:t xml:space="preserve"> e os estáticos da página pública vão para o </w:t>
      </w:r>
      <w:r>
        <w:rPr>
          <w:rFonts w:ascii="Consolas" w:hAnsi="Consolas" w:cs="Consolas"/>
          <w:color w:val="0F2744"/>
          <w:sz w:val="20"/>
        </w:rPr>
        <w:t>webpage</w:t>
      </w:r>
      <w:r>
        <w:rPr/>
        <w:t xml:space="preserve">; todo o restante vai para o </w:t>
      </w:r>
      <w:r>
        <w:rPr>
          <w:rFonts w:ascii="Consolas" w:hAnsi="Consolas" w:cs="Consolas"/>
          <w:color w:val="0F2744"/>
          <w:sz w:val="20"/>
        </w:rPr>
        <w:t>frontend</w:t>
      </w:r>
      <w:r>
        <w:rPr/>
        <w:t>.</w:t>
      </w:r>
    </w:p>
    <w:p>
      <w:pPr>
        <w:spacing w:before="40" w:after="160"/>
        <w:pBdr>
          <w:bottom w:val="single" w:sz="6" w:space="1" w:color="B8C4D4"/>
        </w:pBdr>
      </w:pPr>
    </w:p>
    <w:p>
      <w:pPr>
        <w:pStyle w:val="Heading2"/>
      </w:pPr>
      <w:r>
        <w:rPr>
          <w:b/>
        </w:rPr>
        <w:t>5. Autenticação</w:t>
      </w:r>
    </w:p>
    <w:p>
      <w:pPr>
        <w:pStyle w:val="Heading3"/>
      </w:pPr>
      <w:r>
        <w:rPr>
          <w:b/>
        </w:rPr>
        <w:t>5.1 Mecanismo</w:t>
      </w:r>
    </w:p>
    <w:p>
      <w:pPr>
        <w:pStyle w:val="ListBullet"/>
      </w:pPr>
      <w:r>
        <w:rPr/>
        <w:t>A entrada faz-se por correio eletrónico e palavra-passe, num único ponto de autenticação.</w:t>
      </w:r>
    </w:p>
    <w:p>
      <w:pPr>
        <w:pStyle w:val="ListBullet"/>
      </w:pPr>
      <w:r>
        <w:rPr/>
        <w:t>Em caso de sucesso, o servidor emite dois testemunhos (</w:t>
      </w:r>
      <w:r>
        <w:rPr>
          <w:i/>
        </w:rPr>
        <w:t>tokens</w:t>
      </w:r>
      <w:r>
        <w:rPr/>
        <w:t xml:space="preserve">) assinados — um de acesso e um de renovação, este de duração mais longa — e entrega-os ao navegador </w:t>
      </w:r>
      <w:r>
        <w:rPr>
          <w:b/>
        </w:rPr>
        <w:t xml:space="preserve">em cookies </w:t>
      </w:r>
      <w:r>
        <w:rPr>
          <w:rFonts w:ascii="Consolas" w:hAnsi="Consolas" w:cs="Consolas"/>
          <w:b/>
          <w:color w:val="0F2744"/>
          <w:sz w:val="20"/>
        </w:rPr>
        <w:t>httpOnly</w:t>
      </w:r>
      <w:r>
        <w:rPr/>
        <w:t>. A validade de cada testemunho é configurável; a duração dos cookies que os transportam está fixada no código, em 24 horas e 30 dias respetivamente (ver pontos 9.2 e 11.7).</w:t>
      </w:r>
    </w:p>
    <w:p>
      <w:pPr>
        <w:pStyle w:val="ListBullet"/>
      </w:pPr>
      <w:r>
        <w:rPr/>
        <w:t xml:space="preserve">Um cookie </w:t>
      </w:r>
      <w:r>
        <w:rPr>
          <w:rFonts w:ascii="Consolas" w:hAnsi="Consolas" w:cs="Consolas"/>
          <w:color w:val="0F2744"/>
          <w:sz w:val="20"/>
        </w:rPr>
        <w:t>httpOnly</w:t>
      </w:r>
      <w:r>
        <w:rPr/>
        <w:t xml:space="preserve"> </w:t>
      </w:r>
      <w:r>
        <w:rPr>
          <w:b/>
        </w:rPr>
        <w:t>não é legível pelo JavaScript da página</w:t>
      </w:r>
      <w:r>
        <w:rPr/>
        <w:t>. Um script malicioso injetado na página não consegue ler o testemunho de sessão.</w:t>
      </w:r>
    </w:p>
    <w:p>
      <w:pPr>
        <w:pStyle w:val="ListBullet"/>
      </w:pPr>
      <w:r>
        <w:rPr/>
        <w:t xml:space="preserve">Não existe qualquer testemunho guardado em </w:t>
      </w:r>
      <w:r>
        <w:rPr>
          <w:rFonts w:ascii="Consolas" w:hAnsi="Consolas" w:cs="Consolas"/>
          <w:color w:val="0F2744"/>
          <w:sz w:val="20"/>
        </w:rPr>
        <w:t>localStorage</w:t>
      </w:r>
      <w:r>
        <w:rPr/>
        <w:t xml:space="preserve">, </w:t>
      </w:r>
      <w:r>
        <w:rPr>
          <w:rFonts w:ascii="Consolas" w:hAnsi="Consolas" w:cs="Consolas"/>
          <w:color w:val="0F2744"/>
          <w:sz w:val="20"/>
        </w:rPr>
        <w:t>sessionStorage</w:t>
      </w:r>
      <w:r>
        <w:rPr/>
        <w:t xml:space="preserve"> ou em variáveis de JavaScript.</w:t>
      </w:r>
    </w:p>
    <w:p>
      <w:pPr>
        <w:pStyle w:val="ListBullet"/>
      </w:pPr>
      <w:r>
        <w:rPr/>
        <w:t>Em cada pedido, um filtro do servidor lê o cookie, valida a assinatura e o prazo de validade do testemunho e estabelece a identidade do utilizador para esse pedido.</w:t>
      </w:r>
    </w:p>
    <w:p>
      <w:pPr>
        <w:pStyle w:val="ListBullet"/>
      </w:pPr>
      <w:r>
        <w:rPr/>
        <w:t>O testemunho transporta a identidade do utilizador, o seu escritório e as suas permissões.</w:t>
      </w:r>
    </w:p>
    <w:p>
      <w:pPr>
        <w:pStyle w:val="ListBullet"/>
      </w:pPr>
      <w:r>
        <w:rPr/>
        <w:t xml:space="preserve">As palavras-passe são guardadas com </w:t>
      </w:r>
      <w:r>
        <w:rPr>
          <w:b/>
        </w:rPr>
        <w:t>BCrypt</w:t>
      </w:r>
      <w:r>
        <w:rPr/>
        <w:t>, algoritmo de derivação lenta e com sal; não são recuperáveis, apenas verificáveis.</w:t>
      </w:r>
    </w:p>
    <w:p>
      <w:pPr>
        <w:pStyle w:val="Heading3"/>
      </w:pPr>
      <w:r>
        <w:rPr>
          <w:b/>
        </w:rPr>
        <w:t>5.2 Proteções adicionais</w:t>
      </w:r>
    </w:p>
    <w:p>
      <w:pPr>
        <w:pStyle w:val="ListBullet"/>
      </w:pPr>
      <w:r>
        <w:rPr>
          <w:b/>
        </w:rPr>
        <w:t>Limitação de tentativas de entrada:</w:t>
      </w:r>
      <w:r>
        <w:rPr/>
        <w:t xml:space="preserve"> tentativas falhadas conduzem a um bloqueio temporário. A contagem combina o endereço de correio eletrónico com o endereço de origem do pedido </w:t>
      </w:r>
      <w:r>
        <w:rPr>
          <w:b/>
        </w:rPr>
        <w:t>tal como o servidor o observa</w:t>
      </w:r>
      <w:r>
        <w:rPr/>
        <w:t xml:space="preserve">. Em produção, o pedido chega ao servidor de negócio através da porta de entrada, pelo que o endereço observado é o desta e não o do cliente: na prática, o bloqueio atua hoje </w:t>
      </w:r>
      <w:r>
        <w:rPr>
          <w:b/>
        </w:rPr>
        <w:t>por conta</w:t>
      </w:r>
      <w:r>
        <w:rPr/>
        <w:t xml:space="preserve"> e não por origem. Trava a insistência sobre uma conta; não distingue atacantes entre si. O tratamento do endereço reencaminhado está previsto na configuração de produção que não chega a ser ativada — ver ponto 11.8.</w:t>
      </w:r>
    </w:p>
    <w:p>
      <w:pPr>
        <w:pStyle w:val="ListBullet"/>
      </w:pPr>
      <w:r>
        <w:rPr>
          <w:b/>
        </w:rPr>
        <w:t>Sessão sem estado no servidor:</w:t>
      </w:r>
      <w:r>
        <w:rPr/>
        <w:t xml:space="preserve"> o servidor não mantém sessão em memória, o que evita ataques de fixação de sessão.</w:t>
      </w:r>
    </w:p>
    <w:p>
      <w:pPr>
        <w:pStyle w:val="ListBullet"/>
      </w:pPr>
      <w:r>
        <w:rPr>
          <w:b/>
        </w:rPr>
        <w:t>Cabeçalhos de segurança</w:t>
      </w:r>
      <w:r>
        <w:rPr/>
        <w:t xml:space="preserve"> ativos, incluindo a recusa de apresentação da aplicação dentro de molduras (</w:t>
      </w:r>
      <w:r>
        <w:rPr>
          <w:rFonts w:ascii="Consolas" w:hAnsi="Consolas" w:cs="Consolas"/>
          <w:color w:val="0F2744"/>
          <w:sz w:val="20"/>
        </w:rPr>
        <w:t>frame</w:t>
      </w:r>
      <w:r>
        <w:rPr/>
        <w:t>) de outros sítios.</w:t>
      </w:r>
    </w:p>
    <w:p>
      <w:pPr>
        <w:pStyle w:val="ListBullet"/>
      </w:pPr>
      <w:r>
        <w:rPr>
          <w:b/>
        </w:rPr>
        <w:t>Origens permitidas</w:t>
      </w:r>
      <w:r>
        <w:rPr/>
        <w:t xml:space="preserve"> para pedidos entre origens são configuradas explicitamente na instalação.</w:t>
      </w:r>
    </w:p>
    <w:p>
      <w:pPr>
        <w:pStyle w:val="ListBullet"/>
      </w:pPr>
      <w:r>
        <w:rPr>
          <w:b/>
        </w:rPr>
        <w:t>Pontos de acesso sem autenticação</w:t>
      </w:r>
      <w:r>
        <w:rPr/>
        <w:t xml:space="preserve"> limitados a uma lista fixa e curta: entrada, renovação, saída, estado e inicialização do arranque, e leitura pública de marca. Todo o restante exige autenticação.</w:t>
      </w:r>
    </w:p>
    <w:p>
      <w:pPr>
        <w:pStyle w:val="ListBullet"/>
      </w:pPr>
      <w:r>
        <w:rPr>
          <w:b/>
        </w:rPr>
        <w:t>Suspensão imediata:</w:t>
      </w:r>
      <w:r>
        <w:rPr/>
        <w:t xml:space="preserve"> quando um escritório é suspenso, as sessões já abertas desse escritório deixam de funcionar em poucos segundos.</w:t>
      </w:r>
    </w:p>
    <w:p>
      <w:pPr>
        <w:pStyle w:val="ListBullet"/>
      </w:pPr>
      <w:r>
        <w:rPr>
          <w:b/>
        </w:rPr>
        <w:t>HTTPS obrigatório na fronteira:</w:t>
      </w:r>
      <w:r>
        <w:rPr/>
        <w:t xml:space="preserve"> o </w:t>
      </w:r>
      <w:r>
        <w:rPr>
          <w:rFonts w:ascii="Consolas" w:hAnsi="Consolas" w:cs="Consolas"/>
          <w:color w:val="0F2744"/>
          <w:sz w:val="20"/>
        </w:rPr>
        <w:t>caddy</w:t>
      </w:r>
      <w:r>
        <w:rPr/>
        <w:t xml:space="preserve"> obtém e renova automaticamente o certificado junto da Let's Encrypt e redireciona o tráfego HTTP para HTTPS.</w:t>
      </w:r>
    </w:p>
    <w:p>
      <w:pPr>
        <w:spacing w:before="40" w:after="160"/>
        <w:pBdr>
          <w:bottom w:val="single" w:sz="6" w:space="1" w:color="B8C4D4"/>
        </w:pBdr>
      </w:pPr>
    </w:p>
    <w:p>
      <w:pPr>
        <w:pStyle w:val="Heading2"/>
      </w:pPr>
      <w:r>
        <w:rPr>
          <w:b/>
        </w:rPr>
        <w:t>6. Controlo de acessos (RBAC)</w:t>
      </w:r>
    </w:p>
    <w:p>
      <w:pPr>
        <w:pStyle w:val="Heading3"/>
      </w:pPr>
      <w:r>
        <w:rPr>
          <w:b/>
        </w:rPr>
        <w:t>6.1 Modelo</w:t>
      </w:r>
    </w:p>
    <w:p>
      <w:pPr>
        <w:jc w:val="both"/>
      </w:pPr>
      <w:r>
        <w:rPr/>
        <w:t>O controlo de acessos assenta em três conceitos:</w:t>
      </w:r>
    </w:p>
    <w:p>
      <w:pPr>
        <w:pStyle w:val="ListBullet"/>
      </w:pPr>
      <w:r>
        <w:rPr>
          <w:b/>
        </w:rPr>
        <w:t>Papel</w:t>
      </w:r>
      <w:r>
        <w:rPr/>
        <w:t xml:space="preserve"> — ADMIN, ADVOGADO, TECNICO, ASSISTENTE e PLATAFORMA_ADMIN.</w:t>
      </w:r>
    </w:p>
    <w:p>
      <w:pPr>
        <w:pStyle w:val="ListBullet"/>
      </w:pPr>
      <w:r>
        <w:rPr>
          <w:b/>
        </w:rPr>
        <w:t>Permissão</w:t>
      </w:r>
      <w:r>
        <w:rPr/>
        <w:t xml:space="preserve"> — uma cadeia no formato </w:t>
      </w:r>
      <w:r>
        <w:rPr>
          <w:rFonts w:ascii="Consolas" w:hAnsi="Consolas" w:cs="Consolas"/>
          <w:color w:val="0F2744"/>
          <w:sz w:val="20"/>
        </w:rPr>
        <w:t>âmbito:ação</w:t>
      </w:r>
      <w:r>
        <w:rPr/>
        <w:t>.</w:t>
      </w:r>
    </w:p>
    <w:p>
      <w:pPr>
        <w:pStyle w:val="ListBullet"/>
      </w:pPr>
      <w:r>
        <w:rPr>
          <w:b/>
        </w:rPr>
        <w:t>Atribuição</w:t>
      </w:r>
      <w:r>
        <w:rPr/>
        <w:t xml:space="preserve"> — cada papel detém um conjunto de permissões.</w:t>
      </w:r>
    </w:p>
    <w:p>
      <w:pPr>
        <w:jc w:val="both"/>
      </w:pPr>
      <w:r>
        <w:rPr/>
        <w:t xml:space="preserve">Os âmbitos existentes são: </w:t>
      </w:r>
      <w:r>
        <w:rPr>
          <w:rFonts w:ascii="Consolas" w:hAnsi="Consolas" w:cs="Consolas"/>
          <w:color w:val="0F2744"/>
          <w:sz w:val="20"/>
        </w:rPr>
        <w:t>clientes</w:t>
      </w:r>
      <w:r>
        <w:rPr/>
        <w:t xml:space="preserve">, </w:t>
      </w:r>
      <w:r>
        <w:rPr>
          <w:rFonts w:ascii="Consolas" w:hAnsi="Consolas" w:cs="Consolas"/>
          <w:color w:val="0F2744"/>
          <w:sz w:val="20"/>
        </w:rPr>
        <w:t>processos</w:t>
      </w:r>
      <w:r>
        <w:rPr/>
        <w:t xml:space="preserve">, </w:t>
      </w:r>
      <w:r>
        <w:rPr>
          <w:rFonts w:ascii="Consolas" w:hAnsi="Consolas" w:cs="Consolas"/>
          <w:color w:val="0F2744"/>
          <w:sz w:val="20"/>
        </w:rPr>
        <w:t>agenda</w:t>
      </w:r>
      <w:r>
        <w:rPr/>
        <w:t xml:space="preserve">, </w:t>
      </w:r>
      <w:r>
        <w:rPr>
          <w:rFonts w:ascii="Consolas" w:hAnsi="Consolas" w:cs="Consolas"/>
          <w:color w:val="0F2744"/>
          <w:sz w:val="20"/>
        </w:rPr>
        <w:t>documentos</w:t>
      </w:r>
      <w:r>
        <w:rPr/>
        <w:t xml:space="preserve">, </w:t>
      </w:r>
      <w:r>
        <w:rPr>
          <w:rFonts w:ascii="Consolas" w:hAnsi="Consolas" w:cs="Consolas"/>
          <w:color w:val="0F2744"/>
          <w:sz w:val="20"/>
        </w:rPr>
        <w:t>financeiro</w:t>
      </w:r>
      <w:r>
        <w:rPr/>
        <w:t xml:space="preserve">, </w:t>
      </w:r>
      <w:r>
        <w:rPr>
          <w:rFonts w:ascii="Consolas" w:hAnsi="Consolas" w:cs="Consolas"/>
          <w:color w:val="0F2744"/>
          <w:sz w:val="20"/>
        </w:rPr>
        <w:t>pareceres</w:t>
      </w:r>
      <w:r>
        <w:rPr/>
        <w:t xml:space="preserve">, </w:t>
      </w:r>
      <w:r>
        <w:rPr>
          <w:rFonts w:ascii="Consolas" w:hAnsi="Consolas" w:cs="Consolas"/>
          <w:color w:val="0F2744"/>
          <w:sz w:val="20"/>
        </w:rPr>
        <w:t>notificacoes</w:t>
      </w:r>
      <w:r>
        <w:rPr/>
        <w:t xml:space="preserve">, mais dois âmbitos de administração, </w:t>
      </w:r>
      <w:r>
        <w:rPr>
          <w:rFonts w:ascii="Consolas" w:hAnsi="Consolas" w:cs="Consolas"/>
          <w:color w:val="0F2744"/>
          <w:sz w:val="20"/>
        </w:rPr>
        <w:t>users</w:t>
      </w:r>
      <w:r>
        <w:rPr/>
        <w:t xml:space="preserve"> e </w:t>
      </w:r>
      <w:r>
        <w:rPr>
          <w:rFonts w:ascii="Consolas" w:hAnsi="Consolas" w:cs="Consolas"/>
          <w:color w:val="0F2744"/>
          <w:sz w:val="20"/>
        </w:rPr>
        <w:t>rbac</w:t>
      </w:r>
      <w:r>
        <w:rPr/>
        <w:t>.</w:t>
      </w:r>
    </w:p>
    <w:p>
      <w:pPr>
        <w:jc w:val="both"/>
      </w:pPr>
      <w:r>
        <w:rPr/>
        <w:t xml:space="preserve">O vocabulário de ações tem quatro termos: </w:t>
      </w:r>
      <w:r>
        <w:rPr>
          <w:rFonts w:ascii="Consolas" w:hAnsi="Consolas" w:cs="Consolas"/>
          <w:color w:val="0F2744"/>
          <w:sz w:val="20"/>
        </w:rPr>
        <w:t>view</w:t>
      </w:r>
      <w:r>
        <w:rPr/>
        <w:t xml:space="preserve">, </w:t>
      </w:r>
      <w:r>
        <w:rPr>
          <w:rFonts w:ascii="Consolas" w:hAnsi="Consolas" w:cs="Consolas"/>
          <w:color w:val="0F2744"/>
          <w:sz w:val="20"/>
        </w:rPr>
        <w:t>create</w:t>
      </w:r>
      <w:r>
        <w:rPr/>
        <w:t xml:space="preserve">, </w:t>
      </w:r>
      <w:r>
        <w:rPr>
          <w:rFonts w:ascii="Consolas" w:hAnsi="Consolas" w:cs="Consolas"/>
          <w:color w:val="0F2744"/>
          <w:sz w:val="20"/>
        </w:rPr>
        <w:t>edit</w:t>
      </w:r>
      <w:r>
        <w:rPr/>
        <w:t xml:space="preserve"> e </w:t>
      </w:r>
      <w:r>
        <w:rPr>
          <w:rFonts w:ascii="Consolas" w:hAnsi="Consolas" w:cs="Consolas"/>
          <w:color w:val="0F2744"/>
          <w:sz w:val="20"/>
        </w:rPr>
        <w:t>manage</w:t>
      </w:r>
      <w:r>
        <w:rPr/>
        <w:t xml:space="preserve">. Nem todos os âmbitos definem os quatro: cada âmbito declara apenas as ações de que necessita. O conjunto efetivamente atribuível é de </w:t>
      </w:r>
      <w:r>
        <w:rPr>
          <w:b/>
        </w:rPr>
        <w:t>20 permissões</w:t>
      </w:r>
      <w:r>
        <w:rPr/>
        <w:t>.</w:t>
      </w:r>
    </w:p>
    <w:p>
      <w:pPr>
        <w:jc w:val="both"/>
      </w:pPr>
      <w:r>
        <w:rPr/>
        <w:t xml:space="preserve">Exemplos reais: </w:t>
      </w:r>
      <w:r>
        <w:rPr>
          <w:rFonts w:ascii="Consolas" w:hAnsi="Consolas" w:cs="Consolas"/>
          <w:color w:val="0F2744"/>
          <w:sz w:val="20"/>
        </w:rPr>
        <w:t>clientes:view</w:t>
      </w:r>
      <w:r>
        <w:rPr/>
        <w:t xml:space="preserve">, </w:t>
      </w:r>
      <w:r>
        <w:rPr>
          <w:rFonts w:ascii="Consolas" w:hAnsi="Consolas" w:cs="Consolas"/>
          <w:color w:val="0F2744"/>
          <w:sz w:val="20"/>
        </w:rPr>
        <w:t>processos:edit</w:t>
      </w:r>
      <w:r>
        <w:rPr/>
        <w:t xml:space="preserve">, </w:t>
      </w:r>
      <w:r>
        <w:rPr>
          <w:rFonts w:ascii="Consolas" w:hAnsi="Consolas" w:cs="Consolas"/>
          <w:color w:val="0F2744"/>
          <w:sz w:val="20"/>
        </w:rPr>
        <w:t>processos:manage</w:t>
      </w:r>
      <w:r>
        <w:rPr/>
        <w:t xml:space="preserve">, </w:t>
      </w:r>
      <w:r>
        <w:rPr>
          <w:rFonts w:ascii="Consolas" w:hAnsi="Consolas" w:cs="Consolas"/>
          <w:color w:val="0F2744"/>
          <w:sz w:val="20"/>
        </w:rPr>
        <w:t>financeiro:edit</w:t>
      </w:r>
      <w:r>
        <w:rPr/>
        <w:t xml:space="preserve">, </w:t>
      </w:r>
      <w:r>
        <w:rPr>
          <w:rFonts w:ascii="Consolas" w:hAnsi="Consolas" w:cs="Consolas"/>
          <w:color w:val="0F2744"/>
          <w:sz w:val="20"/>
        </w:rPr>
        <w:t>financeiro:manage</w:t>
      </w:r>
      <w:r>
        <w:rPr/>
        <w:t xml:space="preserve">, </w:t>
      </w:r>
      <w:r>
        <w:rPr>
          <w:rFonts w:ascii="Consolas" w:hAnsi="Consolas" w:cs="Consolas"/>
          <w:color w:val="0F2744"/>
          <w:sz w:val="20"/>
        </w:rPr>
        <w:t>pareceres:create</w:t>
      </w:r>
      <w:r>
        <w:rPr/>
        <w:t>.</w:t>
      </w:r>
    </w:p>
    <w:p>
      <w:pPr>
        <w:pStyle w:val="Heading3"/>
      </w:pPr>
      <w:r>
        <w:rPr>
          <w:b/>
        </w:rPr>
        <w:t>6.2 Aplicação em duas camadas</w:t>
      </w:r>
    </w:p>
    <w:p>
      <w:pPr>
        <w:pStyle w:val="ListBullet"/>
      </w:pPr>
      <w:r>
        <w:rPr>
          <w:b/>
        </w:rPr>
        <w:t>No servidor</w:t>
      </w:r>
      <w:r>
        <w:rPr/>
        <w:t xml:space="preserve"> — cada ponto de entrada da API declara a permissão exigida. A verificação é feita antes de o método correr. Um pedido sem a permissão necessária é recusado, independentemente de como foi construído.</w:t>
      </w:r>
    </w:p>
    <w:p>
      <w:pPr>
        <w:pStyle w:val="ListBullet"/>
      </w:pPr>
      <w:r>
        <w:rPr>
          <w:b/>
        </w:rPr>
        <w:t>No interface</w:t>
      </w:r>
      <w:r>
        <w:rPr/>
        <w:t xml:space="preserve"> — a mesma lógica é espelhada para esconder menus, botões e páginas que o utilizador não pode usar, e para mostrar um ecrã de acesso negado quando o endereço é acedido diretamente.</w:t>
      </w:r>
    </w:p>
    <w:p>
      <w:pPr>
        <w:jc w:val="both"/>
      </w:pPr>
      <w:r>
        <w:rPr/>
        <w:t xml:space="preserve">Na prática, o interface é conveniência e </w:t>
      </w:r>
      <w:r>
        <w:rPr>
          <w:b/>
        </w:rPr>
        <w:t>o servidor é a autoridade</w:t>
      </w:r>
      <w:r>
        <w:rPr/>
        <w:t>: as duas camadas têm de declarar a mesma regra, e é a verificação do servidor que decide. A formulação é a leitura do modelo de segurança, não um princípio formalmente declarado no produto.</w:t>
      </w:r>
    </w:p>
    <w:p>
      <w:pPr>
        <w:pStyle w:val="Heading3"/>
      </w:pPr>
      <w:r>
        <w:rPr>
          <w:b/>
        </w:rPr>
        <w:t>6.3 Encadeamento de ações</w:t>
      </w:r>
    </w:p>
    <w:p>
      <w:pPr>
        <w:jc w:val="both"/>
      </w:pPr>
      <w:r>
        <w:rPr>
          <w:b/>
        </w:rPr>
        <w:t>No interface</w:t>
      </w:r>
      <w:r>
        <w:rPr/>
        <w:t xml:space="preserve">, uma ação mais forte satisfaz uma mais fraca: quem detém </w:t>
      </w:r>
      <w:r>
        <w:rPr>
          <w:rFonts w:ascii="Consolas" w:hAnsi="Consolas" w:cs="Consolas"/>
          <w:color w:val="0F2744"/>
          <w:sz w:val="20"/>
        </w:rPr>
        <w:t>manage</w:t>
      </w:r>
      <w:r>
        <w:rPr/>
        <w:t xml:space="preserve"> satisfaz </w:t>
      </w:r>
      <w:r>
        <w:rPr>
          <w:rFonts w:ascii="Consolas" w:hAnsi="Consolas" w:cs="Consolas"/>
          <w:color w:val="0F2744"/>
          <w:sz w:val="20"/>
        </w:rPr>
        <w:t>edit</w:t>
      </w:r>
      <w:r>
        <w:rPr/>
        <w:t xml:space="preserve">, quem detém </w:t>
      </w:r>
      <w:r>
        <w:rPr>
          <w:rFonts w:ascii="Consolas" w:hAnsi="Consolas" w:cs="Consolas"/>
          <w:color w:val="0F2744"/>
          <w:sz w:val="20"/>
        </w:rPr>
        <w:t>edit</w:t>
      </w:r>
      <w:r>
        <w:rPr/>
        <w:t xml:space="preserve"> satisfaz </w:t>
      </w:r>
      <w:r>
        <w:rPr>
          <w:rFonts w:ascii="Consolas" w:hAnsi="Consolas" w:cs="Consolas"/>
          <w:color w:val="0F2744"/>
          <w:sz w:val="20"/>
        </w:rPr>
        <w:t>create</w:t>
      </w:r>
      <w:r>
        <w:rPr/>
        <w:t xml:space="preserve">, e qualquer uma satisfaz </w:t>
      </w:r>
      <w:r>
        <w:rPr>
          <w:rFonts w:ascii="Consolas" w:hAnsi="Consolas" w:cs="Consolas"/>
          <w:color w:val="0F2744"/>
          <w:sz w:val="20"/>
        </w:rPr>
        <w:t>view</w:t>
      </w:r>
      <w:r>
        <w:rPr/>
        <w:t>. Este encadeamento é uma conveniência de apresentação, que evita esconder um ecrã a quem tem, de facto, poder para o usar.</w:t>
      </w:r>
    </w:p>
    <w:p>
      <w:pPr>
        <w:jc w:val="both"/>
      </w:pPr>
      <w:r>
        <w:rPr>
          <w:b/>
        </w:rPr>
        <w:t>No servidor, a verificação é de correspondência exata</w:t>
      </w:r>
      <w:r>
        <w:rPr/>
        <w:t>: cada ponto de entrada exige literalmente a permissão que declara, sem qualquer expansão de ações mais fortes para mais fracas. Por essa razão, os papéis são configurados com todas as ações de que necessitam declaradas explicitamente, e não por derivação.</w:t>
      </w:r>
    </w:p>
    <w:p>
      <w:pPr>
        <w:pStyle w:val="Heading3"/>
      </w:pPr>
      <w:r>
        <w:rPr>
          <w:b/>
        </w:rPr>
        <w:t>6.4 Restrições por papel</w:t>
      </w:r>
    </w:p>
    <w:p>
      <w:pPr>
        <w:jc w:val="both"/>
      </w:pPr>
      <w:r>
        <w:rPr/>
        <w:t xml:space="preserve">Dois conjuntos de operações são protegidos por </w:t>
      </w:r>
      <w:r>
        <w:rPr>
          <w:b/>
        </w:rPr>
        <w:t>papel</w:t>
      </w:r>
      <w:r>
        <w:rPr/>
        <w:t xml:space="preserve"> e não por permissão de âmbito:</w:t>
      </w:r>
    </w:p>
    <w:p>
      <w:pPr>
        <w:pStyle w:val="ListBullet"/>
      </w:pPr>
      <w:r>
        <w:rPr/>
        <w:t xml:space="preserve">A administração do escritório (gestão de utilizadores) exige o papel </w:t>
      </w:r>
      <w:r>
        <w:rPr>
          <w:b/>
        </w:rPr>
        <w:t>ADMIN</w:t>
      </w:r>
      <w:r>
        <w:rPr/>
        <w:t>.</w:t>
      </w:r>
    </w:p>
    <w:p>
      <w:pPr>
        <w:pStyle w:val="ListBullet"/>
      </w:pPr>
      <w:r>
        <w:rPr/>
        <w:t xml:space="preserve">A administração da plataforma (criação e gestão de escritórios, definição da matriz de permissões) exige o papel </w:t>
      </w:r>
      <w:r>
        <w:rPr>
          <w:b/>
        </w:rPr>
        <w:t>PLATAFORMA_ADMIN</w:t>
      </w:r>
      <w:r>
        <w:rPr/>
        <w:t>.</w:t>
      </w:r>
    </w:p>
    <w:p>
      <w:pPr>
        <w:jc w:val="both"/>
      </w:pPr>
      <w:r>
        <w:rPr/>
        <w:t xml:space="preserve">O papel PLATAFORMA_ADMIN não detém, deliberadamente, </w:t>
      </w:r>
      <w:r>
        <w:rPr>
          <w:b/>
        </w:rPr>
        <w:t>nenhuma permissão de âmbito</w:t>
      </w:r>
      <w:r>
        <w:rPr/>
        <w:t>. Não consegue ler clientes, processos, documentos nem qualquer outro dado de negócio de nenhum escritório. Opera apenas pelos seus pontos de administração próprios.</w:t>
      </w:r>
    </w:p>
    <w:p>
      <w:pPr>
        <w:spacing w:before="40" w:after="160"/>
        <w:pBdr>
          <w:bottom w:val="single" w:sz="6" w:space="1" w:color="B8C4D4"/>
        </w:pBdr>
      </w:pPr>
    </w:p>
    <w:p>
      <w:pPr>
        <w:pStyle w:val="Heading2"/>
      </w:pPr>
      <w:r>
        <w:rPr>
          <w:b/>
        </w:rPr>
        <w:t>7. Isolamento entre escritórios</w:t>
      </w:r>
    </w:p>
    <w:p>
      <w:pPr>
        <w:jc w:val="both"/>
      </w:pPr>
      <w:r>
        <w:rPr/>
        <w:t>Este é o limite de segurança mais importante do sistema.</w:t>
      </w:r>
    </w:p>
    <w:p>
      <w:pPr>
        <w:pStyle w:val="Heading3"/>
      </w:pPr>
      <w:r>
        <w:rPr>
          <w:b/>
        </w:rPr>
        <w:t>7.1 Modelo de dados</w:t>
      </w:r>
    </w:p>
    <w:p>
      <w:pPr>
        <w:pStyle w:val="ListBullet"/>
      </w:pPr>
      <w:r>
        <w:rPr/>
        <w:t xml:space="preserve">Cada entidade de negócio transporta uma coluna de identificação do escritório proprietário do registo (na base de dados, </w:t>
      </w:r>
      <w:r>
        <w:rPr>
          <w:rFonts w:ascii="Consolas" w:hAnsi="Consolas" w:cs="Consolas"/>
          <w:color w:val="0F2744"/>
          <w:sz w:val="20"/>
        </w:rPr>
        <w:t>tenant_id</w:t>
      </w:r>
      <w:r>
        <w:rPr/>
        <w:t>).</w:t>
      </w:r>
    </w:p>
    <w:p>
      <w:pPr>
        <w:pStyle w:val="ListBullet"/>
      </w:pPr>
      <w:r>
        <w:rPr/>
        <w:t xml:space="preserve">As restrições de unicidade são declaradas </w:t>
      </w:r>
      <w:r>
        <w:rPr>
          <w:b/>
        </w:rPr>
        <w:t>por escritório</w:t>
      </w:r>
      <w:r>
        <w:rPr/>
        <w:t>, e não globalmente. Por exemplo, o par (escritório, número de documento) é único — dois escritórios distintos podem ter clientes com o mesmo número de documento.</w:t>
      </w:r>
    </w:p>
    <w:p>
      <w:pPr>
        <w:pStyle w:val="Heading3"/>
      </w:pPr>
      <w:r>
        <w:rPr>
          <w:b/>
        </w:rPr>
        <w:t>7.2 Modelo de execução</w:t>
      </w:r>
    </w:p>
    <w:p>
      <w:pPr>
        <w:pStyle w:val="ListBullet"/>
      </w:pPr>
      <w:r>
        <w:rPr/>
        <w:t xml:space="preserve">O escritório do pedido é derivado da identidade autenticada, a partir do testemunho de sessão. </w:t>
      </w:r>
      <w:r>
        <w:rPr>
          <w:b/>
        </w:rPr>
        <w:t>Nunca é aceite como parâmetro enviado pelo cliente.</w:t>
      </w:r>
    </w:p>
    <w:p>
      <w:pPr>
        <w:pStyle w:val="ListBullet"/>
      </w:pPr>
      <w:r>
        <w:rPr/>
        <w:t>Todas as leituras e escritas são filtradas por esse identificador.</w:t>
      </w:r>
    </w:p>
    <w:p>
      <w:pPr>
        <w:pStyle w:val="ListBullet"/>
      </w:pPr>
      <w:r>
        <w:rPr/>
        <w:t>Operações sobre entidades filhas (por exemplo, uma decisão dentro de um processo) fazem dupla verificação de posse: confirma-se o escritório e confirma-se a entidade-pai.</w:t>
      </w:r>
    </w:p>
    <w:p>
      <w:pPr>
        <w:pStyle w:val="ListBullet"/>
      </w:pPr>
      <w:r>
        <w:rPr/>
        <w:t>A pesquisa global aplica o mesmo filtro, por tipo de entidade, combinado com as permissões do utilizador.</w:t>
      </w:r>
    </w:p>
    <w:p>
      <w:pPr>
        <w:pStyle w:val="Heading3"/>
      </w:pPr>
      <w:r>
        <w:rPr>
          <w:b/>
        </w:rPr>
        <w:t>7.3 Verificação</w:t>
      </w:r>
    </w:p>
    <w:p>
      <w:pPr>
        <w:jc w:val="both"/>
      </w:pPr>
      <w:r>
        <w:rPr/>
        <w:t>Foi executada uma auditoria de isolamento dedicada às superfícies de administração de plataforma introduzidas na v2.16, antes da entrada de um segundo escritório pagante. As superfícies de notificação foram objeto de auditoria equivalente na v2.11.</w:t>
      </w:r>
    </w:p>
    <w:p>
      <w:pPr>
        <w:pStyle w:val="Heading3"/>
      </w:pPr>
      <w:r>
        <w:rPr>
          <w:b/>
        </w:rPr>
        <w:t>7.4 Limitação assumida</w:t>
      </w:r>
    </w:p>
    <w:p>
      <w:pPr>
        <w:jc w:val="both"/>
      </w:pPr>
      <w:r>
        <w:rPr/>
        <w:t xml:space="preserve">O isolamento é </w:t>
      </w:r>
      <w:r>
        <w:rPr>
          <w:b/>
        </w:rPr>
        <w:t>lógico</w:t>
      </w:r>
      <w:r>
        <w:rPr/>
        <w:t>, não físico: todos os escritórios partilham a mesma base de dados e o mesmo depósito de ficheiros, sendo separados por identificador e por filtragem obrigatória em todos os acessos. Não existe base de dados separada por escritório.</w:t>
      </w:r>
    </w:p>
    <w:p>
      <w:pPr>
        <w:spacing w:before="40" w:after="160"/>
        <w:pBdr>
          <w:bottom w:val="single" w:sz="6" w:space="1" w:color="B8C4D4"/>
        </w:pBdr>
      </w:pPr>
    </w:p>
    <w:p>
      <w:pPr>
        <w:pStyle w:val="Heading2"/>
      </w:pPr>
      <w:r>
        <w:rPr>
          <w:b/>
        </w:rPr>
        <w:t>8. Persistência</w:t>
      </w:r>
    </w:p>
    <w:p>
      <w:pPr>
        <w:pStyle w:val="Heading3"/>
      </w:pPr>
      <w:r>
        <w:rPr>
          <w:b/>
        </w:rPr>
        <w:t>8.1 Base de dados relacional (</w:t>
      </w:r>
      <w:r>
        <w:rPr>
          <w:rFonts w:ascii="Consolas" w:hAnsi="Consolas" w:cs="Consolas"/>
          <w:b/>
          <w:color w:val="0F2744"/>
          <w:sz w:val="20"/>
        </w:rPr>
        <w:t>postgres</w:t>
      </w:r>
      <w:r>
        <w:rPr>
          <w:b/>
        </w:rPr>
        <w:t>)</w:t>
      </w:r>
    </w:p>
    <w:p>
      <w:pPr>
        <w:pStyle w:val="ListBullet"/>
      </w:pPr>
      <w:r>
        <w:rPr>
          <w:b/>
        </w:rPr>
        <w:t>PostgreSQL 16</w:t>
      </w:r>
      <w:r>
        <w:rPr/>
        <w:t>.</w:t>
      </w:r>
    </w:p>
    <w:p>
      <w:pPr>
        <w:pStyle w:val="ListBullet"/>
      </w:pPr>
      <w:r>
        <w:rPr/>
        <w:t>Guarda todos os dados de negócio: escritórios, utilizadores, papéis, permissões, clientes e respetivos contactos, notas, advogados e administrativos; processos, partes, fases, movimentações, decisões, factos e testemunhas; eventos e prazos; metadados de documentos; honorários, pagamentos e conta corrente; pareceres e suas versões; notificações e preferências; registo de auditoria; e definições de sistema.</w:t>
      </w:r>
    </w:p>
    <w:p>
      <w:pPr>
        <w:pStyle w:val="ListBullet"/>
      </w:pPr>
      <w:r>
        <w:rPr/>
        <w:t>Utiliza extensões de pesquisa textual para tolerância a acentos e a correspondências parciais.</w:t>
      </w:r>
    </w:p>
    <w:p>
      <w:pPr>
        <w:pStyle w:val="ListBullet"/>
      </w:pPr>
      <w:r>
        <w:rPr/>
        <w:t>Os dados residem num volume dedicado e persistente, independente do ciclo de vida dos contentores.</w:t>
      </w:r>
    </w:p>
    <w:p>
      <w:pPr>
        <w:pStyle w:val="ListBullet"/>
      </w:pPr>
      <w:r>
        <w:rPr>
          <w:b/>
        </w:rPr>
        <w:t>Evolução do esquema no arranque.</w:t>
      </w:r>
      <w:r>
        <w:rPr/>
        <w:t xml:space="preserve"> Em produção, o esquema é hoje </w:t>
      </w:r>
      <w:r>
        <w:rPr>
          <w:b/>
        </w:rPr>
        <w:t>alterado automaticamente</w:t>
      </w:r>
      <w:r>
        <w:rPr/>
        <w:t xml:space="preserve"> pelo sistema no arranque, para o ajustar ao modelo de dados da versão instalada. Não é apenas verificado. Existe um modo de verificação — em que o arranque falha e nomeia o objeto divergente, em vez de mexer na base de dados — e existe caminho documentado para lá chegar, num arranque em dois tempos; mas esse modo é um </w:t>
      </w:r>
      <w:r>
        <w:rPr>
          <w:b/>
        </w:rPr>
        <w:t>passo de instalação a executar</w:t>
      </w:r>
      <w:r>
        <w:rPr/>
        <w:t>, e não o estado por omissão. Ver pontos 9.5 e 11.8, e a iniciativa de adoção de uma ferramenta de migrações no Roteiro Tecnológico, ponto 4.2, que é a via para o tornar definitivo.</w:t>
      </w:r>
    </w:p>
    <w:p>
      <w:pPr>
        <w:pStyle w:val="Heading3"/>
      </w:pPr>
      <w:r>
        <w:rPr>
          <w:b/>
        </w:rPr>
        <w:t>8.2 Armazenamento de ficheiros (</w:t>
      </w:r>
      <w:r>
        <w:rPr>
          <w:rFonts w:ascii="Consolas" w:hAnsi="Consolas" w:cs="Consolas"/>
          <w:b/>
          <w:color w:val="0F2744"/>
          <w:sz w:val="20"/>
        </w:rPr>
        <w:t>minio</w:t>
      </w:r>
      <w:r>
        <w:rPr>
          <w:b/>
        </w:rPr>
        <w:t>)</w:t>
      </w:r>
    </w:p>
    <w:p>
      <w:pPr>
        <w:pStyle w:val="ListBullet"/>
      </w:pPr>
      <w:r>
        <w:rPr/>
        <w:t xml:space="preserve">Serviço de </w:t>
      </w:r>
      <w:r>
        <w:rPr>
          <w:b/>
        </w:rPr>
        <w:t>armazenamento de objetos</w:t>
      </w:r>
      <w:r>
        <w:rPr/>
        <w:t xml:space="preserve"> compatível com o protocolo S3.</w:t>
      </w:r>
    </w:p>
    <w:p>
      <w:pPr>
        <w:pStyle w:val="ListBullet"/>
      </w:pPr>
      <w:r>
        <w:rPr/>
        <w:t>Guarda os ficheiros carregados: documentos de cliente e de processo e anexos de versões de parecer.</w:t>
      </w:r>
    </w:p>
    <w:p>
      <w:pPr>
        <w:pStyle w:val="ListBullet"/>
      </w:pPr>
      <w:r>
        <w:rPr/>
        <w:t>A chave de cada objeto é composta pelo identificador do escritório, pelo identificador do documento e pelo nome do ficheiro. O nome do ficheiro é saneado no carregamento, para impedir a manipulação do caminho de gravação.</w:t>
      </w:r>
    </w:p>
    <w:p>
      <w:pPr>
        <w:pStyle w:val="ListBullet"/>
      </w:pPr>
      <w:r>
        <w:rPr/>
        <w:t xml:space="preserve">O descarregamento é feito por </w:t>
      </w:r>
      <w:r>
        <w:rPr>
          <w:b/>
        </w:rPr>
        <w:t>ligação assinada e com validade limitada</w:t>
      </w:r>
      <w:r>
        <w:rPr/>
        <w:t>, emitida pelo servidor no momento do pedido. Não existe acesso público direto aos ficheiros.</w:t>
      </w:r>
    </w:p>
    <w:p>
      <w:pPr>
        <w:pStyle w:val="ListBullet"/>
      </w:pPr>
      <w:r>
        <w:rPr/>
        <w:t>Os objetos residem num volume dedicado e persistente.</w:t>
      </w:r>
    </w:p>
    <w:p>
      <w:pPr>
        <w:pStyle w:val="ListBullet"/>
      </w:pPr>
      <w:r>
        <w:rPr/>
        <w:t>Nota de configuração: subsiste na definição de serviços um volume herdado de gravação em disco (</w:t>
      </w:r>
      <w:r>
        <w:rPr>
          <w:rFonts w:ascii="Consolas" w:hAnsi="Consolas" w:cs="Consolas"/>
          <w:color w:val="0F2744"/>
          <w:sz w:val="20"/>
        </w:rPr>
        <w:t>uploads</w:t>
      </w:r>
      <w:r>
        <w:rPr/>
        <w:t>) da implementação anterior ao armazenamento de objetos. O código atual do servidor não escreve nesse volume — todo o carregamento e descarregamento passa pelo armazenamento de objetos.</w:t>
      </w:r>
    </w:p>
    <w:p>
      <w:pPr>
        <w:spacing w:before="40" w:after="160"/>
        <w:pBdr>
          <w:bottom w:val="single" w:sz="6" w:space="1" w:color="B8C4D4"/>
        </w:pBdr>
      </w:pPr>
    </w:p>
    <w:p>
      <w:pPr>
        <w:pStyle w:val="Heading2"/>
      </w:pPr>
      <w:r>
        <w:rPr>
          <w:b/>
        </w:rPr>
        <w:t>9. Instalação e operação em contentores</w:t>
      </w:r>
    </w:p>
    <w:p>
      <w:pPr>
        <w:pStyle w:val="Heading3"/>
      </w:pPr>
      <w:r>
        <w:rPr>
          <w:b/>
        </w:rPr>
        <w:t>9.1 Composição</w:t>
      </w:r>
    </w:p>
    <w:p>
      <w:pPr>
        <w:jc w:val="both"/>
      </w:pPr>
      <w:r>
        <w:rPr/>
        <w:t>A instalação é descrita por ficheiros de composição Docker:</w:t>
      </w:r>
    </w:p>
    <w:p>
      <w:pPr>
        <w:pStyle w:val="ListBullet"/>
      </w:pPr>
      <w:r>
        <w:rPr>
          <w:b/>
        </w:rPr>
        <w:t>Base</w:t>
      </w:r>
      <w:r>
        <w:rPr/>
        <w:t xml:space="preserve"> — define os seis serviços, a rede privada e os volumes persistentes.</w:t>
      </w:r>
    </w:p>
    <w:p>
      <w:pPr>
        <w:pStyle w:val="ListBullet"/>
      </w:pPr>
      <w:r>
        <w:rPr>
          <w:b/>
        </w:rPr>
        <w:t>Produção</w:t>
      </w:r>
      <w:r>
        <w:rPr/>
        <w:t xml:space="preserve"> — sobreposição que ativa o domínio real, o HTTPS automático e, opcionalmente, o uso de imagens pré-construídas em vez de compilação local.</w:t>
      </w:r>
    </w:p>
    <w:p>
      <w:pPr>
        <w:pStyle w:val="ListBullet"/>
      </w:pPr>
      <w:r>
        <w:rPr>
          <w:b/>
        </w:rPr>
        <w:t>Instalação alojada</w:t>
      </w:r>
      <w:r>
        <w:rPr/>
        <w:t xml:space="preserve"> — sobreposição específica para o alojamento em uso.</w:t>
      </w:r>
    </w:p>
    <w:p>
      <w:pPr>
        <w:jc w:val="both"/>
      </w:pPr>
      <w:r>
        <w:rPr/>
        <w:t xml:space="preserve">Os volumes persistentes são: dados da base de dados, dados do armazenamento de objetos, certificados e configuração do </w:t>
      </w:r>
      <w:r>
        <w:rPr>
          <w:rFonts w:ascii="Consolas" w:hAnsi="Consolas" w:cs="Consolas"/>
          <w:color w:val="0F2744"/>
          <w:sz w:val="20"/>
        </w:rPr>
        <w:t>caddy</w:t>
      </w:r>
      <w:r>
        <w:rPr/>
        <w:t>, e o volume herdado de carregamentos.</w:t>
      </w:r>
    </w:p>
    <w:p>
      <w:pPr>
        <w:jc w:val="both"/>
      </w:pPr>
      <w:r>
        <w:rPr/>
        <w:t xml:space="preserve">As aplicações são construídas em imagens </w:t>
      </w:r>
      <w:r>
        <w:rPr>
          <w:b/>
        </w:rPr>
        <w:t>multi-fase</w:t>
      </w:r>
      <w:r>
        <w:rPr/>
        <w:t>, o que mantém a imagem final reduzida, sem ferramentas de compilação.</w:t>
      </w:r>
    </w:p>
    <w:p>
      <w:pPr>
        <w:pStyle w:val="Heading3"/>
      </w:pPr>
      <w:r>
        <w:rPr>
          <w:b/>
        </w:rPr>
        <w:t>9.2 Configuração</w:t>
      </w:r>
    </w:p>
    <w:p>
      <w:pPr>
        <w:pStyle w:val="ListBullet"/>
      </w:pPr>
      <w:r>
        <w:rPr/>
        <w:t xml:space="preserve">Toda a configuração sensível entra por variáveis de ambiente: credenciais da base de dados, segredo de assinatura dos testemunhos, prazos de validade dos testemunhos, origens permitidas, domínio e credenciais do armazenamento de objetos. Nota: a duração dos cookies que transportam os testemunhos está atualmente fixada no código — 24 horas para o cookie de acesso e 30 dias para o de renovação — e </w:t>
      </w:r>
      <w:r>
        <w:rPr>
          <w:b/>
        </w:rPr>
        <w:t>não acompanha</w:t>
      </w:r>
      <w:r>
        <w:rPr/>
        <w:t xml:space="preserve"> estas variáveis. Ver ponto 11.7.</w:t>
      </w:r>
    </w:p>
    <w:p>
      <w:pPr>
        <w:pStyle w:val="ListBullet"/>
      </w:pPr>
      <w:r>
        <w:rPr/>
        <w:t xml:space="preserve">O servidor </w:t>
      </w:r>
      <w:r>
        <w:rPr>
          <w:b/>
        </w:rPr>
        <w:t>não tem valores por omissão</w:t>
      </w:r>
      <w:r>
        <w:rPr/>
        <w:t xml:space="preserve"> para estes parâmetros: uma configuração incompleta impede o arranque, em vez de o deixar arrancar em estado inseguro.</w:t>
      </w:r>
    </w:p>
    <w:p>
      <w:pPr>
        <w:pStyle w:val="Heading3"/>
      </w:pPr>
      <w:r>
        <w:rPr>
          <w:b/>
        </w:rPr>
        <w:t>9.3 Requisitos de instalação</w:t>
      </w:r>
    </w:p>
    <w:p>
      <w:pPr>
        <w:pStyle w:val="ListBullet"/>
      </w:pPr>
      <w:r>
        <w:rPr/>
        <w:t>Servidor Ubuntu 22.04+ ou Debian 12+.</w:t>
      </w:r>
    </w:p>
    <w:p>
      <w:pPr>
        <w:pStyle w:val="ListBullet"/>
      </w:pPr>
      <w:r>
        <w:rPr/>
        <w:t>Docker Engine 24+ e Docker Compose v2.</w:t>
      </w:r>
    </w:p>
    <w:p>
      <w:pPr>
        <w:pStyle w:val="ListBullet"/>
      </w:pPr>
      <w:r>
        <w:rPr/>
        <w:t>Nome de domínio com registo A a apontar para o endereço público do servidor, com propagação de DNS concluída.</w:t>
      </w:r>
    </w:p>
    <w:p>
      <w:pPr>
        <w:pStyle w:val="ListBullet"/>
      </w:pPr>
      <w:r>
        <w:rPr/>
        <w:t>Portas 80 e 443 abertas. A porta 80 é necessária para a emissão e renovação do certificado.</w:t>
      </w:r>
    </w:p>
    <w:p>
      <w:pPr>
        <w:pStyle w:val="Heading3"/>
      </w:pPr>
      <w:r>
        <w:rPr>
          <w:b/>
        </w:rPr>
        <w:t>9.4 Integração e publicação de imagens</w:t>
      </w:r>
    </w:p>
    <w:p>
      <w:pPr>
        <w:jc w:val="both"/>
      </w:pPr>
      <w:r>
        <w:rPr/>
        <w:t>O fluxo automatizado tem duas etapas:</w:t>
      </w:r>
    </w:p>
    <w:p>
      <w:pPr>
        <w:pStyle w:val="ListNumber"/>
      </w:pPr>
      <w:r>
        <w:rPr>
          <w:b/>
        </w:rPr>
        <w:t>Barreira de testes.</w:t>
      </w:r>
      <w:r>
        <w:rPr/>
        <w:t xml:space="preserve"> A cada entrega na linha principal e a cada pedido de integração, correm os testes do servidor — testes unitários e testes de integração executados contra uma base de dados PostgreSQL real, criada e destruída para o efeito — seguidos da análise estática de segurança. Se esta etapa falhar, o processo para.</w:t>
      </w:r>
    </w:p>
    <w:p>
      <w:pPr>
        <w:pStyle w:val="ListNumber"/>
      </w:pPr>
      <w:r>
        <w:rPr>
          <w:b/>
        </w:rPr>
        <w:t>Construção e publicação.</w:t>
      </w:r>
      <w:r>
        <w:rPr/>
        <w:t xml:space="preserve"> Apenas nas entregas na linha principal, as três imagens (servidor, aplicação de gestão e página pública) são construídas e publicadas num registo privado de imagens. Cada imagem é etiquetada com a versão mais recente e com o identificador exato da revisão de código, o que permite reverter para uma versão anterior.</w:t>
      </w:r>
    </w:p>
    <w:p>
      <w:pPr>
        <w:jc w:val="both"/>
      </w:pPr>
      <w:r>
        <w:rPr>
          <w:b/>
        </w:rPr>
        <w:t>A instalação no servidor é um passo operacional deliberado</w:t>
      </w:r>
      <w:r>
        <w:rPr/>
        <w:t>, executado por quem opera a plataforma: obter as imagens publicadas e reiniciar os serviços. O fluxo automatizado publica as imagens; não as instala sozinho no servidor de produção.</w:t>
      </w:r>
    </w:p>
    <w:p>
      <w:pPr>
        <w:pStyle w:val="Heading3"/>
      </w:pPr>
      <w:r>
        <w:rPr>
          <w:b/>
        </w:rPr>
        <w:t>9.5 Evolução do esquema de dados</w:t>
      </w:r>
    </w:p>
    <w:p>
      <w:pPr>
        <w:jc w:val="both"/>
      </w:pPr>
      <w:r>
        <w:rPr/>
        <w:t xml:space="preserve">No arranque, o sistema compara o esquema da base de dados com o modelo de dados da versão instalada. </w:t>
      </w:r>
      <w:r>
        <w:rPr>
          <w:b/>
        </w:rPr>
        <w:t>Por omissão, ajusta o esquema automaticamente à diferença que encontra — e é este o comportamento em vigor em produção.</w:t>
      </w:r>
      <w:r>
        <w:rPr/>
        <w:t xml:space="preserve"> O modo alternativo, de verificação apenas, existe e é alcançável: o procedimento de instalação versionado com o código (</w:t>
      </w:r>
      <w:r>
        <w:rPr>
          <w:rFonts w:ascii="Consolas" w:hAnsi="Consolas" w:cs="Consolas"/>
          <w:color w:val="0F2744"/>
          <w:sz w:val="20"/>
        </w:rPr>
        <w:t>DEPLOYMENT.md</w:t>
      </w:r>
      <w:r>
        <w:rPr/>
        <w:t>) descreve um arranque em dois tempos, cuja primeira fase cria o esquema e cuja segunda fase deixa a instalação em verificação. É um passo de instalação, executado e confirmado por quem instala, e não uma garantia dada pelo sistema. Ver ponto 11.8.</w:t>
      </w:r>
    </w:p>
    <w:p>
      <w:pPr>
        <w:jc w:val="both"/>
      </w:pPr>
      <w:r>
        <w:rPr/>
        <w:t xml:space="preserve">O ajuste automático não cobre tudo. Existem migrações SQL numeradas, guardadas com o código, para alterações que não podem ser inferidas automaticamente — nomeadamente a ativação das extensões de pesquisa textual e a criação de restrições de unicidade e de novas colunas de escritório. </w:t>
      </w:r>
      <w:r>
        <w:rPr>
          <w:b/>
        </w:rPr>
        <w:t>Estas migrações são aplicadas manualmente</w:t>
      </w:r>
      <w:r>
        <w:rPr/>
        <w:t xml:space="preserve"> durante a instalação ou a atualização.</w:t>
      </w:r>
    </w:p>
    <w:p>
      <w:pPr>
        <w:jc w:val="both"/>
      </w:pPr>
      <w:r>
        <w:rPr>
          <w:b/>
        </w:rPr>
        <w:t>O conjunto a aplicar não é o mesmo numa instalação de raiz e numa instalação sobre uma base de dados já em uso</w:t>
      </w:r>
      <w:r>
        <w:rPr/>
        <w:t xml:space="preserve"> — e pelo menos uma delas é destrutiva se for executada no caminho errado. A lista por caminho, com a classificação de cada instrução e a prova em que assenta, consta da lista de verificação mantida no repositório em </w:t>
      </w:r>
      <w:r>
        <w:rPr>
          <w:rFonts w:ascii="Consolas" w:hAnsi="Consolas" w:cs="Consolas"/>
          <w:color w:val="0F2744"/>
          <w:sz w:val="20"/>
        </w:rPr>
        <w:t>backend/migrations/README.md</w:t>
      </w:r>
      <w:r>
        <w:rPr/>
        <w:t xml:space="preserve"> (ver Roteiro Tecnológico, Anexo A.5), e deve ser consultada antes de qualquer instalação ou atualização.</w:t>
      </w:r>
    </w:p>
    <w:p>
      <w:pPr>
        <w:pStyle w:val="Heading3"/>
      </w:pPr>
      <w:r>
        <w:rPr>
          <w:b/>
        </w:rPr>
        <w:t>9.6 Certificados</w:t>
      </w:r>
    </w:p>
    <w:p>
      <w:pPr>
        <w:jc w:val="both"/>
      </w:pPr>
      <w:r>
        <w:rPr/>
        <w:t xml:space="preserve">O </w:t>
      </w:r>
      <w:r>
        <w:rPr>
          <w:rFonts w:ascii="Consolas" w:hAnsi="Consolas" w:cs="Consolas"/>
          <w:color w:val="0F2744"/>
          <w:sz w:val="20"/>
        </w:rPr>
        <w:t>caddy</w:t>
      </w:r>
      <w:r>
        <w:rPr/>
        <w:t xml:space="preserve"> obtém e renova os certificados automaticamente. Os certificados são guardados num volume dedicado, que não deve ser apagado.</w:t>
      </w:r>
    </w:p>
    <w:p>
      <w:pPr>
        <w:spacing w:before="40" w:after="160"/>
        <w:pBdr>
          <w:bottom w:val="single" w:sz="6" w:space="1" w:color="B8C4D4"/>
        </w:pBdr>
      </w:pPr>
    </w:p>
    <w:p>
      <w:pPr>
        <w:pStyle w:val="Heading2"/>
      </w:pPr>
      <w:r>
        <w:rPr>
          <w:b/>
        </w:rPr>
        <w:t>10. Qualidade e verificação</w:t>
      </w:r>
    </w:p>
    <w:p>
      <w:pPr>
        <w:pStyle w:val="ListBullet"/>
      </w:pPr>
      <w:r>
        <w:rPr>
          <w:b/>
        </w:rPr>
        <w:t>Análise estática de segurança</w:t>
      </w:r>
      <w:r>
        <w:rPr/>
        <w:t xml:space="preserve"> do código do servidor (SpotBugs com FindSecBugs), executada automaticamente na barreira de testes e sem alertas pendentes.</w:t>
      </w:r>
    </w:p>
    <w:p>
      <w:pPr>
        <w:pStyle w:val="ListBullet"/>
      </w:pPr>
      <w:r>
        <w:rPr>
          <w:b/>
        </w:rPr>
        <w:t>Testes automatizados</w:t>
      </w:r>
      <w:r>
        <w:rPr/>
        <w:t xml:space="preserve"> no servidor — cobrindo, entre outros, o bloqueio por tentativas de entrada, a suspensão de escritório, o limite de utilizadores, a contenção do papel de plataforma, a validação de NIF, o carregamento de documentos, os alertas diários e a pesquisa — incluindo testes de integração contra base de dados real.</w:t>
      </w:r>
    </w:p>
    <w:p>
      <w:pPr>
        <w:pStyle w:val="ListBullet"/>
      </w:pPr>
      <w:r>
        <w:rPr>
          <w:b/>
        </w:rPr>
        <w:t>Testes</w:t>
      </w:r>
      <w:r>
        <w:rPr/>
        <w:t xml:space="preserve"> na aplicação de gestão, executados localmente; não integram a barreira automática.</w:t>
      </w:r>
    </w:p>
    <w:p>
      <w:pPr>
        <w:pStyle w:val="ListBullet"/>
      </w:pPr>
      <w:r>
        <w:rPr>
          <w:b/>
        </w:rPr>
        <w:t>Verificação de estilo</w:t>
      </w:r>
      <w:r>
        <w:rPr/>
        <w:t xml:space="preserve"> na aplicação de gestão.</w:t>
      </w:r>
    </w:p>
    <w:p>
      <w:pPr>
        <w:pStyle w:val="ListBullet"/>
      </w:pPr>
      <w:r>
        <w:rPr>
          <w:b/>
        </w:rPr>
        <w:t>Revisão de código</w:t>
      </w:r>
      <w:r>
        <w:rPr/>
        <w:t xml:space="preserve"> e </w:t>
      </w:r>
      <w:r>
        <w:rPr>
          <w:b/>
        </w:rPr>
        <w:t>verificação de aceitação com utilizador</w:t>
      </w:r>
      <w:r>
        <w:rPr/>
        <w:t xml:space="preserve"> por cada marco entregue.</w:t>
      </w:r>
    </w:p>
    <w:p>
      <w:pPr>
        <w:pStyle w:val="ListBullet"/>
      </w:pPr>
      <w:r>
        <w:rPr>
          <w:b/>
        </w:rPr>
        <w:t>Auditoria por marco</w:t>
      </w:r>
      <w:r>
        <w:rPr/>
        <w:t>, com registo escrito das divergências encontradas e do respetivo encerramento.</w:t>
      </w:r>
    </w:p>
    <w:p>
      <w:pPr>
        <w:jc w:val="both"/>
      </w:pPr>
      <w:r>
        <w:rPr/>
        <w:t>A cobertura de testes não é uniforme por área: existem áreas cobertas apenas ao nível do controlador, sem teste de integração contra base de dados. O Roteiro Tecnológico, Anexo A.1, identifica um caso concreto.</w:t>
      </w:r>
    </w:p>
    <w:p>
      <w:pPr>
        <w:spacing w:before="40" w:after="160"/>
        <w:pBdr>
          <w:bottom w:val="single" w:sz="6" w:space="1" w:color="B8C4D4"/>
        </w:pBdr>
      </w:pPr>
    </w:p>
    <w:p>
      <w:pPr>
        <w:pStyle w:val="Heading2"/>
      </w:pPr>
      <w:r>
        <w:rPr>
          <w:b/>
        </w:rPr>
        <w:t>11. Pontos de atenção</w:t>
      </w:r>
    </w:p>
    <w:p>
      <w:pPr>
        <w:jc w:val="both"/>
      </w:pPr>
      <w:r>
        <w:rPr/>
        <w:t>Registados aqui por transparência, para decisão do contratante:</w:t>
      </w:r>
    </w:p>
    <w:p>
      <w:pPr>
        <w:pStyle w:val="ListNumber"/>
      </w:pPr>
      <w:r>
        <w:rPr>
          <w:b/>
        </w:rPr>
        <w:t>Isolamento lógico e não físico.</w:t>
      </w:r>
      <w:r>
        <w:rPr/>
        <w:t xml:space="preserve"> Ver ponto 7.4.</w:t>
      </w:r>
    </w:p>
    <w:p>
      <w:pPr>
        <w:pStyle w:val="ListNumber"/>
      </w:pPr>
      <w:r>
        <w:rPr>
          <w:b/>
        </w:rPr>
        <w:t>Volume de carregamentos herdado.</w:t>
      </w:r>
      <w:r>
        <w:rPr/>
        <w:t xml:space="preserve"> Ver ponto 8.2. Não afeta o funcionamento, mas deve ser retirado da composição numa limpeza futura.</w:t>
      </w:r>
    </w:p>
    <w:p>
      <w:pPr>
        <w:pStyle w:val="ListNumber"/>
      </w:pPr>
      <w:r>
        <w:rPr>
          <w:b/>
        </w:rPr>
        <w:t>Consola do armazenamento de objetos.</w:t>
      </w:r>
      <w:r>
        <w:rPr/>
        <w:t xml:space="preserve"> Na configuração de produção, a consola do </w:t>
      </w:r>
      <w:r>
        <w:rPr>
          <w:rFonts w:ascii="Consolas" w:hAnsi="Consolas" w:cs="Consolas"/>
          <w:color w:val="0F2744"/>
          <w:sz w:val="20"/>
        </w:rPr>
        <w:t>minio</w:t>
      </w:r>
      <w:r>
        <w:rPr/>
        <w:t xml:space="preserve"> está publicada num caminho do domínio, protegida por autenticação básica. As credenciais têm de ser definidas com o mesmo rigor das restantes.</w:t>
      </w:r>
    </w:p>
    <w:p>
      <w:pPr>
        <w:pStyle w:val="ListNumber"/>
      </w:pPr>
      <w:r>
        <w:rPr>
          <w:b/>
        </w:rPr>
        <w:t xml:space="preserve">Atributo </w:t>
      </w:r>
      <w:r>
        <w:rPr>
          <w:rFonts w:ascii="Consolas" w:hAnsi="Consolas" w:cs="Consolas"/>
          <w:b/>
          <w:color w:val="0F2744"/>
          <w:sz w:val="20"/>
        </w:rPr>
        <w:t>Secure</w:t>
      </w:r>
      <w:r>
        <w:rPr>
          <w:b/>
        </w:rPr>
        <w:t xml:space="preserve"> dos cookies de sessão.</w:t>
      </w:r>
      <w:r>
        <w:rPr/>
        <w:t xml:space="preserve"> A definição dos cookies de sessão marca-os como </w:t>
      </w:r>
      <w:r>
        <w:rPr>
          <w:rFonts w:ascii="Consolas" w:hAnsi="Consolas" w:cs="Consolas"/>
          <w:color w:val="0F2744"/>
          <w:sz w:val="20"/>
        </w:rPr>
        <w:t>httpOnly</w:t>
      </w:r>
      <w:r>
        <w:rPr/>
        <w:t xml:space="preserve">, mas não define o atributo </w:t>
      </w:r>
      <w:r>
        <w:rPr>
          <w:rFonts w:ascii="Consolas" w:hAnsi="Consolas" w:cs="Consolas"/>
          <w:color w:val="0F2744"/>
          <w:sz w:val="20"/>
        </w:rPr>
        <w:t>Secure</w:t>
      </w:r>
      <w:r>
        <w:rPr/>
        <w:t xml:space="preserve">. Em produção, o tráfego é servido exclusivamente por HTTPS através do </w:t>
      </w:r>
      <w:r>
        <w:rPr>
          <w:rFonts w:ascii="Consolas" w:hAnsi="Consolas" w:cs="Consolas"/>
          <w:color w:val="0F2744"/>
          <w:sz w:val="20"/>
        </w:rPr>
        <w:t>caddy</w:t>
      </w:r>
      <w:r>
        <w:rPr/>
        <w:t>, mas recomenda-se ativar explicitamente esse atributo antes da entrada em serviço.</w:t>
      </w:r>
    </w:p>
    <w:p>
      <w:pPr>
        <w:pStyle w:val="ListNumber"/>
      </w:pPr>
      <w:r>
        <w:rPr>
          <w:b/>
        </w:rPr>
        <w:t>Migrações SQL manuais.</w:t>
      </w:r>
      <w:r>
        <w:rPr/>
        <w:t xml:space="preserve"> Ver ponto 9.5. A instalação e cada atualização exigem confirmar, migração a migração, quais se aplicam ao caminho em causa — instalação de raiz ou instalação sobre base de dados já em uso. A omissão da migração das extensões de pesquisa faz falhar a pesquisa global; e há pelo menos uma migração que, executada numa instalação de raiz, apaga em silêncio os logótipos já carregados. A lista por caminho consta da lista de verificação mantida no repositório em </w:t>
      </w:r>
      <w:r>
        <w:rPr>
          <w:rFonts w:ascii="Consolas" w:hAnsi="Consolas" w:cs="Consolas"/>
          <w:color w:val="0F2744"/>
          <w:sz w:val="20"/>
        </w:rPr>
        <w:t>backend/migrations/README.md</w:t>
      </w:r>
      <w:r>
        <w:rPr/>
        <w:t xml:space="preserve"> (ver Roteiro Tecnológico, Anexo A.5), e é aí que deve ser confirmada antes de cada instalação.</w:t>
      </w:r>
    </w:p>
    <w:p>
      <w:pPr>
        <w:pStyle w:val="ListNumber"/>
      </w:pPr>
      <w:r>
        <w:rPr>
          <w:b/>
        </w:rPr>
        <w:t>Instalação não automática.</w:t>
      </w:r>
      <w:r>
        <w:rPr/>
        <w:t xml:space="preserve"> Ver ponto 9.4. A publicação das imagens é automática; a sua instalação no servidor é um passo manual.</w:t>
      </w:r>
    </w:p>
    <w:p>
      <w:pPr>
        <w:pStyle w:val="ListNumber"/>
      </w:pPr>
      <w:r>
        <w:rPr>
          <w:b/>
        </w:rPr>
        <w:t>Duração dos cookies de sessão fixada no código.</w:t>
      </w:r>
      <w:r>
        <w:rPr/>
        <w:t xml:space="preserve"> A validade dos testemunhos entra por variável de ambiente, mas a duração dos cookies que os transportam está escrita no código — 24 horas para o de acesso, 30 dias para o de renovação. Encurtar a validade do testemunho de acesso por configuração não encurta o cookie. Recomenda-se passar também estas durações para configuração.</w:t>
      </w:r>
    </w:p>
    <w:p>
      <w:pPr>
        <w:pStyle w:val="ListNumber"/>
      </w:pPr>
      <w:r>
        <w:rPr>
          <w:b/>
        </w:rPr>
        <w:t>A configuração própria de produção não é ativada pela instalação.</w:t>
      </w:r>
      <w:r>
        <w:rPr/>
        <w:t xml:space="preserve"> O código inclui um conjunto de definições destinado exclusivamente a produção, mas nenhum dos ficheiros de instalação, nem a imagem do sistema, nem o processo automático de entrega o seleciona. A produção corre, por isso, com as definições por omissão. Verificado em agosto de 2026. Três consequências, todas com o mesmo remédio:</w:t>
      </w:r>
    </w:p>
    <w:p>
      <w:pPr>
        <w:pStyle w:val="ListBullet2"/>
      </w:pPr>
      <w:r>
        <w:rPr>
          <w:b/>
        </w:rPr>
        <w:t>O esquema da base de dados é alterado automaticamente no arranque</w:t>
      </w:r>
      <w:r>
        <w:rPr/>
        <w:t>, em vez de ser apenas verificado. Ver pontos 8.1 e 9.5. É a consequência mais relevante, por incidir sobre a integridade dos dados.</w:t>
      </w:r>
    </w:p>
    <w:p>
      <w:pPr>
        <w:pStyle w:val="ListBullet2"/>
      </w:pPr>
      <w:r>
        <w:rPr>
          <w:b/>
        </w:rPr>
        <w:t>O bloqueio por tentativas de entrada não distingue a origem do pedido.</w:t>
      </w:r>
      <w:r>
        <w:rPr/>
        <w:t xml:space="preserve"> Ver ponto 5.2.</w:t>
      </w:r>
    </w:p>
    <w:p>
      <w:pPr>
        <w:pStyle w:val="ListBullet2"/>
      </w:pPr>
      <w:r>
        <w:rPr>
          <w:b/>
        </w:rPr>
        <w:t>As respostas de erro do servidor são mais detalhadas</w:t>
      </w:r>
      <w:r>
        <w:rPr/>
        <w:t xml:space="preserve"> do que o previsto para produção.</w:t>
      </w:r>
    </w:p>
    <w:p>
      <w:pPr>
        <w:jc w:val="both"/>
      </w:pPr>
      <w:r>
        <w:rPr/>
        <w:t>Existe já um paliativo documentado para a primeira — o arranque em dois tempos do ponto 9.5 —, que depende de ser executado corretamente em cada instalação. A correção de fundo é ativar as definições de produção na instalação, e é também o que a iniciativa de adoção de uma ferramenta de migrações do Roteiro Tecnológico, ponto 4.2, vem fixar de forma definitiva.</w:t>
      </w:r>
    </w:p>
    <w:p>
      <w:pPr>
        <w:spacing w:before="40" w:after="160"/>
        <w:pBdr>
          <w:bottom w:val="single" w:sz="6" w:space="1" w:color="B8C4D4"/>
        </w:pBdr>
      </w:pPr>
    </w:p>
    <w:p>
      <w:pPr>
        <w:spacing w:before="120" w:after="200" w:line="276" w:lineRule="auto"/>
        <w:ind w:left="340"/>
        <w:pBdr>
          <w:left w:val="single" w:sz="18" w:space="8" w:color="1B4D8F"/>
        </w:pBdr>
      </w:pPr>
      <w:r>
        <w:rPr>
          <w:b/>
        </w:rPr>
        <w:t>Nota:</w:t>
      </w:r>
      <w:r>
        <w:rPr/>
        <w:t xml:space="preserve"> este documento descreve a arquitetura de software e não constitui parecer jurídico nem certificação de conformidade com qualquer norma de proteção de dados. Qualquer utilização contratual carece de revisão por advogado.</w:t>
      </w:r>
    </w:p>
    <w:sectPr w:rsidR="00FC693F" w:rsidRPr="0006063C" w:rsidSect="00034616">
      <w:pgSz w:w="11906" w:h="16838"/>
      <w:pgMar w:top="1253" w:right="1368" w:bottom="1253"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F27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4D8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B4D8F"/>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1B4D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ind w:left="72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ind w:left="720"/>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LexCV — Especificação de Arquitetura</dc:title>
  <dc:subject/>
  <dc:creator>LexCV — business/scripts/gerar-docx.py</dc:creator>
  <cp:keywords/>
  <dc:description>Artefacto derivado. A fonte de verdade e o .md com o mesmo nome. Nao editar este ficheiro a mao; regenerar com business/scripts/gerar-docx.py.</dc:description>
  <cp:lastModifiedBy/>
  <cp:revision>1</cp:revision>
  <dcterms:created xsi:type="dcterms:W3CDTF">2013-12-23T23:15:00Z</dcterms:created>
  <dcterms:modified xsi:type="dcterms:W3CDTF">2013-12-23T23:15:00Z</dcterms:modified>
  <cp:category/>
</cp:coreProperties>
</file>