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  <w:t>LexCV — Termo de Abertura do Projeto</w:t>
      </w:r>
    </w:p>
    <w:p>
      <w:pPr>
        <w:pStyle w:val="ListBullet"/>
      </w:pPr>
      <w:r>
        <w:rPr>
          <w:b/>
        </w:rPr>
        <w:t>Documento:</w:t>
      </w:r>
      <w:r>
        <w:rPr/>
        <w:t xml:space="preserve"> Termo de Abertura do Projeto (Project Charter)</w:t>
      </w:r>
    </w:p>
    <w:p>
      <w:pPr>
        <w:pStyle w:val="ListBullet"/>
      </w:pPr>
      <w:r>
        <w:rPr>
          <w:b/>
        </w:rPr>
        <w:t>Produto:</w:t>
      </w:r>
      <w:r>
        <w:rPr/>
        <w:t xml:space="preserve"> LexCV — Plataforma Institucional de Gestão Jurídica</w:t>
      </w:r>
    </w:p>
    <w:p>
      <w:pPr>
        <w:pStyle w:val="ListBullet"/>
      </w:pPr>
      <w:r>
        <w:rPr>
          <w:b/>
        </w:rPr>
        <w:t>Destinatário:</w:t>
      </w:r>
      <w:r>
        <w:rPr/>
        <w:t xml:space="preserve"> Entidade contratante (escritório de advogados ou instituição)</w:t>
      </w:r>
    </w:p>
    <w:p>
      <w:pPr>
        <w:pStyle w:val="ListBullet"/>
      </w:pPr>
      <w:r>
        <w:rPr>
          <w:b/>
        </w:rPr>
        <w:t>Versão do produto descrita:</w:t>
      </w:r>
      <w:r>
        <w:rPr/>
        <w:t xml:space="preserve"> v2.16, encerrada a 30 de julho de 2026</w:t>
      </w:r>
    </w:p>
    <w:p>
      <w:pPr>
        <w:pStyle w:val="ListBullet"/>
      </w:pPr>
      <w:r>
        <w:rPr>
          <w:b/>
        </w:rPr>
        <w:t>Data de emissão:</w:t>
      </w:r>
      <w:r>
        <w:rPr/>
        <w:t xml:space="preserve"> agosto de 2026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1. Enquadramento</w:t>
      </w:r>
    </w:p>
    <w:p>
      <w:pPr>
        <w:jc w:val="both"/>
      </w:pPr>
      <w:r>
        <w:rPr/>
        <w:t xml:space="preserve">O LexCV é uma plataforma institucional de gestão jurídica para Cabo Verde, desenhada para a realidade institucional cabo-verdiana e para a terminologia corrente do SIJ (Sistema Judicial de Cabo Verde). </w:t>
      </w:r>
      <w:r>
        <w:rPr>
          <w:b/>
        </w:rPr>
        <w:t>Não existe integração técnica com o SIJ — ver ponto 5.2.</w:t>
      </w:r>
      <w:r>
        <w:rPr/>
        <w:t xml:space="preserve"> Centraliza clientes, processos, agenda e prazos, documentos e a gestão financeira básica de honorários.</w:t>
      </w:r>
    </w:p>
    <w:p>
      <w:pPr>
        <w:jc w:val="both"/>
      </w:pPr>
      <w:r>
        <w:rPr/>
        <w:t>A plataforma serve vários escritórios em simultâneo: cada escritório opera sobre os seus próprios dados, num ambiente isolado dos restantes escritórios servidos pela mesma instalação.</w:t>
      </w:r>
    </w:p>
    <w:p>
      <w:pPr>
        <w:jc w:val="both"/>
      </w:pPr>
      <w:r>
        <w:rPr/>
        <w:t xml:space="preserve">Toda a linguagem do produto — ecrãs, campos, mensagens — está em português, com a terminologia corrente da prática jurídica: </w:t>
      </w:r>
      <w:r>
        <w:rPr>
          <w:b/>
        </w:rPr>
        <w:t>cliente</w:t>
      </w:r>
      <w:r>
        <w:rPr/>
        <w:t xml:space="preserve">, </w:t>
      </w:r>
      <w:r>
        <w:rPr>
          <w:b/>
        </w:rPr>
        <w:t>processo</w:t>
      </w:r>
      <w:r>
        <w:rPr/>
        <w:t xml:space="preserve">, </w:t>
      </w:r>
      <w:r>
        <w:rPr>
          <w:b/>
        </w:rPr>
        <w:t>parte</w:t>
      </w:r>
      <w:r>
        <w:rPr/>
        <w:t xml:space="preserve">, </w:t>
      </w:r>
      <w:r>
        <w:rPr>
          <w:b/>
        </w:rPr>
        <w:t>fase</w:t>
      </w:r>
      <w:r>
        <w:rPr/>
        <w:t xml:space="preserve">, </w:t>
      </w:r>
      <w:r>
        <w:rPr>
          <w:b/>
        </w:rPr>
        <w:t>movimentação</w:t>
      </w:r>
      <w:r>
        <w:rPr/>
        <w:t xml:space="preserve">, </w:t>
      </w:r>
      <w:r>
        <w:rPr>
          <w:b/>
        </w:rPr>
        <w:t>evento</w:t>
      </w:r>
      <w:r>
        <w:rPr/>
        <w:t xml:space="preserve">, </w:t>
      </w:r>
      <w:r>
        <w:rPr>
          <w:b/>
        </w:rPr>
        <w:t>prazo</w:t>
      </w:r>
      <w:r>
        <w:rPr/>
        <w:t xml:space="preserve">, </w:t>
      </w:r>
      <w:r>
        <w:rPr>
          <w:b/>
        </w:rPr>
        <w:t>honorário</w:t>
      </w:r>
      <w:r>
        <w:rPr/>
        <w:t xml:space="preserve">, </w:t>
      </w:r>
      <w:r>
        <w:rPr>
          <w:b/>
        </w:rPr>
        <w:t>parecer</w:t>
      </w:r>
      <w:r>
        <w:rPr/>
        <w:t xml:space="preserve">, </w:t>
      </w:r>
      <w:r>
        <w:rPr>
          <w:b/>
        </w:rPr>
        <w:t>documento</w:t>
      </w:r>
      <w:r>
        <w:rPr/>
        <w:t>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2. Objetivo do projeto</w:t>
      </w:r>
    </w:p>
    <w:p>
      <w:pPr>
        <w:jc w:val="both"/>
      </w:pPr>
      <w:r>
        <w:rPr/>
        <w:t>Dotar a entidade contratante de um único painel onde o ciclo completo de um processo é gerido de ponta a ponta, com isolamento rigoroso por escritório:</w:t>
      </w:r>
    </w:p>
    <w:p>
      <w:pPr>
        <w:spacing w:before="120" w:after="200" w:line="276" w:lineRule="auto"/>
        <w:ind w:left="340"/>
        <w:pBdr>
          <w:left w:val="single" w:sz="18" w:space="8" w:color="1B4D8F"/>
        </w:pBdr>
      </w:pPr>
      <w:r>
        <w:rPr>
          <w:b/>
        </w:rPr>
        <w:t>cliente → processo → prazos → documentos → financeiro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3. Valor comercial</w:t>
      </w:r>
    </w:p>
    <w:p>
      <w:pPr>
        <w:pStyle w:val="ListBullet"/>
      </w:pPr>
      <w:r>
        <w:rPr>
          <w:b/>
        </w:rPr>
        <w:t>Fim da dispersão documental.</w:t>
      </w:r>
      <w:r>
        <w:rPr/>
        <w:t xml:space="preserve"> A ficha do cliente, a ficha do processo, os documentos e o termo de honorários deixam de viver em pastas de rede, folhas de cálculo e caixas de correio separadas.</w:t>
      </w:r>
    </w:p>
    <w:p>
      <w:pPr>
        <w:pStyle w:val="ListBullet"/>
      </w:pPr>
      <w:r>
        <w:rPr>
          <w:b/>
        </w:rPr>
        <w:t>Prazos sob controlo.</w:t>
      </w:r>
      <w:r>
        <w:rPr/>
        <w:t xml:space="preserve"> O critério de "prazo crítico" é único e partilhado por toda a aplicação — o mesmo prazo é classificado da mesma forma na agenda, no painel e nas notificações.</w:t>
      </w:r>
    </w:p>
    <w:p>
      <w:pPr>
        <w:pStyle w:val="ListBullet"/>
      </w:pPr>
      <w:r>
        <w:rPr>
          <w:b/>
        </w:rPr>
        <w:t>Rastreabilidade.</w:t>
      </w:r>
      <w:r>
        <w:rPr/>
        <w:t xml:space="preserve"> Transições de estado de processo, decisões de verificação de conflitos, descarregamento e eliminação de documentos ficam registados em histórico de auditoria.</w:t>
      </w:r>
    </w:p>
    <w:p>
      <w:pPr>
        <w:pStyle w:val="ListBullet"/>
      </w:pPr>
      <w:r>
        <w:rPr>
          <w:b/>
        </w:rPr>
        <w:t>Documentos formais gerados pelo sistema.</w:t>
      </w:r>
      <w:r>
        <w:rPr/>
        <w:t xml:space="preserve"> A Ficha de Cliente e o Termo de Honorários são produzidos a partir dos dados já introduzidos, em formato próprio para impressão.</w:t>
      </w:r>
    </w:p>
    <w:p>
      <w:pPr>
        <w:pStyle w:val="ListBullet"/>
      </w:pPr>
      <w:r>
        <w:rPr>
          <w:b/>
        </w:rPr>
        <w:t>Governação de acessos.</w:t>
      </w:r>
      <w:r>
        <w:rPr/>
        <w:t xml:space="preserve"> Cada utilizador vê apenas o que o seu papel permite, com a mesma regra aplicada no interface e no servidor.</w:t>
      </w:r>
    </w:p>
    <w:p>
      <w:pPr>
        <w:pStyle w:val="ListBullet"/>
      </w:pPr>
      <w:r>
        <w:rPr>
          <w:b/>
        </w:rPr>
        <w:t>Isolamento entre escritórios.</w:t>
      </w:r>
      <w:r>
        <w:rPr/>
        <w:t xml:space="preserve"> Cada registo pertence a um escritório e as leituras e escritas são delimitadas por essa fronteira.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4. Metas principais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57"/>
        <w:gridCol w:w="3057"/>
        <w:gridCol w:w="3057"/>
      </w:tblGrid>
      <w:tr>
        <w:trPr>
          <w:tblHeader/>
        </w:trPr>
        <w:tc>
          <w:tcPr>
            <w:tcW w:type="dxa" w:w="742"/>
            <w:shd w:val="clear" w:color="auto" w:fill="E8EEF6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6943"/>
            <w:shd w:val="clear" w:color="auto" w:fill="E8EEF6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Meta</w:t>
            </w:r>
          </w:p>
        </w:tc>
        <w:tc>
          <w:tcPr>
            <w:tcW w:type="dxa" w:w="1484"/>
            <w:shd w:val="clear" w:color="auto" w:fill="E8EEF6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Situação</w:t>
            </w:r>
          </w:p>
        </w:tc>
      </w:tr>
      <w:tr>
        <w:tc>
          <w:tcPr>
            <w:tcW w:type="dxa" w:w="742"/>
          </w:tcPr>
          <w:p>
            <w:pPr>
              <w:spacing w:after="40"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type="dxa" w:w="6943"/>
          </w:tcPr>
          <w:p>
            <w:pPr>
              <w:spacing w:after="40" w:line="240" w:lineRule="auto"/>
            </w:pPr>
            <w:r>
              <w:rPr>
                <w:sz w:val="20"/>
              </w:rPr>
              <w:t>Gestão completa de clientes, com ficha institucional imprimível</w:t>
            </w:r>
          </w:p>
        </w:tc>
        <w:tc>
          <w:tcPr>
            <w:tcW w:type="dxa" w:w="1484"/>
          </w:tcPr>
          <w:p>
            <w:pPr>
              <w:spacing w:after="40" w:line="240" w:lineRule="auto"/>
            </w:pPr>
            <w:r>
              <w:rPr>
                <w:sz w:val="20"/>
              </w:rPr>
              <w:t>Entregue</w:t>
            </w:r>
          </w:p>
        </w:tc>
      </w:tr>
      <w:tr>
        <w:tc>
          <w:tcPr>
            <w:tcW w:type="dxa" w:w="742"/>
          </w:tcPr>
          <w:p>
            <w:pPr>
              <w:spacing w:after="40"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type="dxa" w:w="6943"/>
          </w:tcPr>
          <w:p>
            <w:pPr>
              <w:spacing w:after="40" w:line="240" w:lineRule="auto"/>
            </w:pPr>
            <w:r>
              <w:rPr>
                <w:sz w:val="20"/>
              </w:rPr>
              <w:t>Gestão de processos com partes, fases, movimentações, decisões, factos e testemunhas</w:t>
            </w:r>
          </w:p>
        </w:tc>
        <w:tc>
          <w:tcPr>
            <w:tcW w:type="dxa" w:w="1484"/>
          </w:tcPr>
          <w:p>
            <w:pPr>
              <w:spacing w:after="40" w:line="240" w:lineRule="auto"/>
            </w:pPr>
            <w:r>
              <w:rPr>
                <w:sz w:val="20"/>
              </w:rPr>
              <w:t>Entregue</w:t>
            </w:r>
          </w:p>
        </w:tc>
      </w:tr>
      <w:tr>
        <w:tc>
          <w:tcPr>
            <w:tcW w:type="dxa" w:w="742"/>
          </w:tcPr>
          <w:p>
            <w:pPr>
              <w:spacing w:after="40"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type="dxa" w:w="6943"/>
          </w:tcPr>
          <w:p>
            <w:pPr>
              <w:spacing w:after="40" w:line="240" w:lineRule="auto"/>
            </w:pPr>
            <w:r>
              <w:rPr>
                <w:sz w:val="20"/>
              </w:rPr>
              <w:t>Agenda unificada de eventos e prazos, com destaque de prazos críticos</w:t>
            </w:r>
          </w:p>
        </w:tc>
        <w:tc>
          <w:tcPr>
            <w:tcW w:type="dxa" w:w="1484"/>
          </w:tcPr>
          <w:p>
            <w:pPr>
              <w:spacing w:after="40" w:line="240" w:lineRule="auto"/>
            </w:pPr>
            <w:r>
              <w:rPr>
                <w:sz w:val="20"/>
              </w:rPr>
              <w:t>Entregue</w:t>
            </w:r>
          </w:p>
        </w:tc>
      </w:tr>
      <w:tr>
        <w:tc>
          <w:tcPr>
            <w:tcW w:type="dxa" w:w="742"/>
          </w:tcPr>
          <w:p>
            <w:pPr>
              <w:spacing w:after="40"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type="dxa" w:w="6943"/>
          </w:tcPr>
          <w:p>
            <w:pPr>
              <w:spacing w:after="40" w:line="240" w:lineRule="auto"/>
            </w:pPr>
            <w:r>
              <w:rPr>
                <w:sz w:val="20"/>
              </w:rPr>
              <w:t>Repositório de documentos com carregamento, descarregamento e remoção</w:t>
            </w:r>
          </w:p>
        </w:tc>
        <w:tc>
          <w:tcPr>
            <w:tcW w:type="dxa" w:w="1484"/>
          </w:tcPr>
          <w:p>
            <w:pPr>
              <w:spacing w:after="40" w:line="240" w:lineRule="auto"/>
            </w:pPr>
            <w:r>
              <w:rPr>
                <w:sz w:val="20"/>
              </w:rPr>
              <w:t>Entregue</w:t>
            </w:r>
          </w:p>
        </w:tc>
      </w:tr>
      <w:tr>
        <w:tc>
          <w:tcPr>
            <w:tcW w:type="dxa" w:w="742"/>
          </w:tcPr>
          <w:p>
            <w:pPr>
              <w:spacing w:after="40"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type="dxa" w:w="6943"/>
          </w:tcPr>
          <w:p>
            <w:pPr>
              <w:spacing w:after="40" w:line="240" w:lineRule="auto"/>
            </w:pPr>
            <w:r>
              <w:rPr>
                <w:sz w:val="20"/>
              </w:rPr>
              <w:t>Honorários e pagamentos com reflexo na conta corrente do cliente</w:t>
            </w:r>
          </w:p>
        </w:tc>
        <w:tc>
          <w:tcPr>
            <w:tcW w:type="dxa" w:w="1484"/>
          </w:tcPr>
          <w:p>
            <w:pPr>
              <w:spacing w:after="40" w:line="240" w:lineRule="auto"/>
            </w:pPr>
            <w:r>
              <w:rPr>
                <w:sz w:val="20"/>
              </w:rPr>
              <w:t>Entregue</w:t>
            </w:r>
          </w:p>
        </w:tc>
      </w:tr>
      <w:tr>
        <w:tc>
          <w:tcPr>
            <w:tcW w:type="dxa" w:w="742"/>
          </w:tcPr>
          <w:p>
            <w:pPr>
              <w:spacing w:after="40"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type="dxa" w:w="6943"/>
          </w:tcPr>
          <w:p>
            <w:pPr>
              <w:spacing w:after="40" w:line="240" w:lineRule="auto"/>
            </w:pPr>
            <w:r>
              <w:rPr>
                <w:sz w:val="20"/>
              </w:rPr>
              <w:t>Módulo de Parecer Jurídico com versionamento imutável e entrega irreversível</w:t>
            </w:r>
          </w:p>
        </w:tc>
        <w:tc>
          <w:tcPr>
            <w:tcW w:type="dxa" w:w="1484"/>
          </w:tcPr>
          <w:p>
            <w:pPr>
              <w:spacing w:after="40" w:line="240" w:lineRule="auto"/>
            </w:pPr>
            <w:r>
              <w:rPr>
                <w:sz w:val="20"/>
              </w:rPr>
              <w:t>Entregue</w:t>
            </w:r>
          </w:p>
        </w:tc>
      </w:tr>
      <w:tr>
        <w:tc>
          <w:tcPr>
            <w:tcW w:type="dxa" w:w="742"/>
          </w:tcPr>
          <w:p>
            <w:pPr>
              <w:spacing w:after="40"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type="dxa" w:w="6943"/>
          </w:tcPr>
          <w:p>
            <w:pPr>
              <w:spacing w:after="40" w:line="240" w:lineRule="auto"/>
            </w:pPr>
            <w:r>
              <w:rPr>
                <w:sz w:val="20"/>
              </w:rPr>
              <w:t>Sistema de notificações em aplicação, com alertas diários de prazos</w:t>
            </w:r>
          </w:p>
        </w:tc>
        <w:tc>
          <w:tcPr>
            <w:tcW w:type="dxa" w:w="1484"/>
          </w:tcPr>
          <w:p>
            <w:pPr>
              <w:spacing w:after="40" w:line="240" w:lineRule="auto"/>
            </w:pPr>
            <w:r>
              <w:rPr>
                <w:sz w:val="20"/>
              </w:rPr>
              <w:t>Entregue</w:t>
            </w:r>
          </w:p>
        </w:tc>
      </w:tr>
      <w:tr>
        <w:tc>
          <w:tcPr>
            <w:tcW w:type="dxa" w:w="742"/>
          </w:tcPr>
          <w:p>
            <w:pPr>
              <w:spacing w:after="40"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type="dxa" w:w="6943"/>
          </w:tcPr>
          <w:p>
            <w:pPr>
              <w:spacing w:after="40" w:line="240" w:lineRule="auto"/>
            </w:pPr>
            <w:r>
              <w:rPr>
                <w:sz w:val="20"/>
              </w:rPr>
              <w:t>Pesquisa global sobre clientes, processos, documentos e pareceres</w:t>
            </w:r>
          </w:p>
        </w:tc>
        <w:tc>
          <w:tcPr>
            <w:tcW w:type="dxa" w:w="1484"/>
          </w:tcPr>
          <w:p>
            <w:pPr>
              <w:spacing w:after="40" w:line="240" w:lineRule="auto"/>
            </w:pPr>
            <w:r>
              <w:rPr>
                <w:sz w:val="20"/>
              </w:rPr>
              <w:t>Entregue</w:t>
            </w:r>
          </w:p>
        </w:tc>
      </w:tr>
      <w:tr>
        <w:tc>
          <w:tcPr>
            <w:tcW w:type="dxa" w:w="742"/>
          </w:tcPr>
          <w:p>
            <w:pPr>
              <w:spacing w:after="40" w:line="240" w:lineRule="auto"/>
            </w:pPr>
            <w:r>
              <w:rPr>
                <w:sz w:val="20"/>
              </w:rPr>
              <w:t>9</w:t>
            </w:r>
          </w:p>
        </w:tc>
        <w:tc>
          <w:tcPr>
            <w:tcW w:type="dxa" w:w="6943"/>
          </w:tcPr>
          <w:p>
            <w:pPr>
              <w:spacing w:after="40" w:line="240" w:lineRule="auto"/>
            </w:pPr>
            <w:r>
              <w:rPr>
                <w:sz w:val="20"/>
              </w:rPr>
              <w:t>Controlo de acessos por papel, espelhado no interface e no servidor</w:t>
            </w:r>
          </w:p>
        </w:tc>
        <w:tc>
          <w:tcPr>
            <w:tcW w:type="dxa" w:w="1484"/>
          </w:tcPr>
          <w:p>
            <w:pPr>
              <w:spacing w:after="40" w:line="240" w:lineRule="auto"/>
            </w:pPr>
            <w:r>
              <w:rPr>
                <w:sz w:val="20"/>
              </w:rPr>
              <w:t>Entregue</w:t>
            </w:r>
          </w:p>
        </w:tc>
      </w:tr>
      <w:tr>
        <w:tc>
          <w:tcPr>
            <w:tcW w:type="dxa" w:w="742"/>
          </w:tcPr>
          <w:p>
            <w:pPr>
              <w:spacing w:after="40" w:line="240" w:lineRule="auto"/>
            </w:pPr>
            <w:r>
              <w:rPr>
                <w:sz w:val="20"/>
              </w:rPr>
              <w:t>10</w:t>
            </w:r>
          </w:p>
        </w:tc>
        <w:tc>
          <w:tcPr>
            <w:tcW w:type="dxa" w:w="6943"/>
          </w:tcPr>
          <w:p>
            <w:pPr>
              <w:spacing w:after="40" w:line="240" w:lineRule="auto"/>
            </w:pPr>
            <w:r>
              <w:rPr>
                <w:sz w:val="20"/>
              </w:rPr>
              <w:t>Operação com vários escritórios na mesma instalação, com consola de administração da plataforma</w:t>
            </w:r>
          </w:p>
        </w:tc>
        <w:tc>
          <w:tcPr>
            <w:tcW w:type="dxa" w:w="1484"/>
          </w:tcPr>
          <w:p>
            <w:pPr>
              <w:spacing w:after="40" w:line="240" w:lineRule="auto"/>
            </w:pPr>
            <w:r>
              <w:rPr>
                <w:sz w:val="20"/>
              </w:rPr>
              <w:t>Entregue</w:t>
            </w:r>
          </w:p>
        </w:tc>
      </w:tr>
      <w:tr>
        <w:tc>
          <w:tcPr>
            <w:tcW w:type="dxa" w:w="742"/>
          </w:tcPr>
          <w:p>
            <w:pPr>
              <w:spacing w:after="40" w:line="240" w:lineRule="auto"/>
            </w:pPr>
            <w:r>
              <w:rPr>
                <w:sz w:val="20"/>
              </w:rPr>
              <w:t>11</w:t>
            </w:r>
          </w:p>
        </w:tc>
        <w:tc>
          <w:tcPr>
            <w:tcW w:type="dxa" w:w="6943"/>
          </w:tcPr>
          <w:p>
            <w:pPr>
              <w:spacing w:after="40" w:line="240" w:lineRule="auto"/>
            </w:pPr>
            <w:r>
              <w:rPr>
                <w:sz w:val="20"/>
              </w:rPr>
              <w:t xml:space="preserve">Instalação em contentores, com HTTPS automático e </w:t>
            </w:r>
            <w:r>
              <w:rPr>
                <w:b/>
                <w:sz w:val="20"/>
              </w:rPr>
              <w:t>publicação contínua de imagens</w:t>
            </w:r>
            <w:r>
              <w:rPr>
                <w:sz w:val="20"/>
              </w:rPr>
              <w:t xml:space="preserve"> (a instalação no servidor é um passo manual — ver Especificação de Arquitetura, ponto 9.4)</w:t>
            </w:r>
          </w:p>
        </w:tc>
        <w:tc>
          <w:tcPr>
            <w:tcW w:type="dxa" w:w="1484"/>
          </w:tcPr>
          <w:p>
            <w:pPr>
              <w:spacing w:after="40" w:line="240" w:lineRule="auto"/>
            </w:pPr>
            <w:r>
              <w:rPr>
                <w:sz w:val="20"/>
              </w:rPr>
              <w:t>Entregue</w:t>
            </w:r>
          </w:p>
        </w:tc>
      </w:tr>
    </w:tbl>
    <w:p>
      <w:pPr>
        <w:spacing w:after="80" w:line="240" w:lineRule="auto"/>
      </w:pPr>
    </w:p>
    <w:p>
      <w:pPr>
        <w:jc w:val="both"/>
      </w:pPr>
      <w:r>
        <w:rPr/>
        <w:t>O produto foi desenvolvido por marcos sucessivos. O primeiro conjunto funcional foi encerrado em 26 de maio de 2026 (v1.0) e o marco mais recente descrito neste documento foi encerrado em 30 de julho de 2026 (v2.16).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5. Âmbito</w:t>
      </w:r>
    </w:p>
    <w:p>
      <w:pPr>
        <w:pStyle w:val="Heading3"/>
      </w:pPr>
      <w:r>
        <w:rPr>
          <w:b/>
        </w:rPr>
        <w:t>5.1 Incluído</w:t>
      </w:r>
    </w:p>
    <w:p>
      <w:pPr>
        <w:pStyle w:val="ListBullet"/>
      </w:pPr>
      <w:r>
        <w:rPr>
          <w:b/>
        </w:rPr>
        <w:t>Clientes</w:t>
      </w:r>
      <w:r>
        <w:rPr/>
        <w:t xml:space="preserve"> — registo de particulares e empresas, numeração sequencial por escritório, NIF obrigatório, contactos, notas, advogados e administrativos atribuídos, procuração, documentos entregues e a tratar, deslocações, honorários propostos, conta corrente e ficha imprimível. Inclui fusão de clientes duplicados.</w:t>
      </w:r>
    </w:p>
    <w:p>
      <w:pPr>
        <w:pStyle w:val="ListBullet"/>
      </w:pPr>
      <w:r>
        <w:rPr>
          <w:b/>
        </w:rPr>
        <w:t>Processos</w:t>
      </w:r>
      <w:r>
        <w:rPr/>
        <w:t xml:space="preserve"> — dados do processo, juízo, origem, partes, fases, movimentações, decisões, factos, testemunhas, documentos e auditoria. Formalização do processo (triagem para ativo) com criação automática do honorário associado e termo de honorários imprimível.</w:t>
      </w:r>
    </w:p>
    <w:p>
      <w:pPr>
        <w:pStyle w:val="ListBullet"/>
      </w:pPr>
      <w:r>
        <w:rPr>
          <w:b/>
        </w:rPr>
        <w:t>Agenda</w:t>
      </w:r>
      <w:r>
        <w:rPr/>
        <w:t xml:space="preserve"> — eventos e prazos, com filtros por processo, categoria e estado, e marcação de conclusão.</w:t>
      </w:r>
    </w:p>
    <w:p>
      <w:pPr>
        <w:pStyle w:val="ListBullet"/>
      </w:pPr>
      <w:r>
        <w:rPr>
          <w:b/>
        </w:rPr>
        <w:t>Documentos</w:t>
      </w:r>
      <w:r>
        <w:rPr/>
        <w:t xml:space="preserve"> — carregamento, listagem, descarregamento e remoção, com classificação por tipo e nível de confidencialidade, ligados ao cliente ou ao processo.</w:t>
      </w:r>
    </w:p>
    <w:p>
      <w:pPr>
        <w:pStyle w:val="ListBullet"/>
      </w:pPr>
      <w:r>
        <w:rPr>
          <w:b/>
        </w:rPr>
        <w:t>Financeiro</w:t>
      </w:r>
      <w:r>
        <w:rPr/>
        <w:t xml:space="preserve"> — honorários e pagamentos, com impacto na conta corrente do cliente e exportação de listagens.</w:t>
      </w:r>
    </w:p>
    <w:p>
      <w:pPr>
        <w:pStyle w:val="ListBullet"/>
      </w:pPr>
      <w:r>
        <w:rPr>
          <w:b/>
        </w:rPr>
        <w:t>Pareceres</w:t>
      </w:r>
      <w:r>
        <w:rPr/>
        <w:t xml:space="preserve"> — solicitação, versionamento imutável, aprovação, entrega irreversível, pesquisa avançada e histórico.</w:t>
      </w:r>
    </w:p>
    <w:p>
      <w:pPr>
        <w:pStyle w:val="ListBullet"/>
      </w:pPr>
      <w:r>
        <w:rPr>
          <w:b/>
        </w:rPr>
        <w:t>Notificações</w:t>
      </w:r>
      <w:r>
        <w:rPr/>
        <w:t xml:space="preserve"> — alertas em aplicação sobre entrada em nova fase, novo documento, processo atribuído, parecer atribuído, prazos e eventos próximos ou vencidos e honorários em atraso, com preferências de silenciamento por utilizador.</w:t>
      </w:r>
    </w:p>
    <w:p>
      <w:pPr>
        <w:pStyle w:val="ListBullet"/>
      </w:pPr>
      <w:r>
        <w:rPr>
          <w:b/>
        </w:rPr>
        <w:t>Pesquisa global</w:t>
      </w:r>
      <w:r>
        <w:rPr/>
        <w:t xml:space="preserve"> — pesquisa transversal a clientes, processos, documentos e pareceres, acessível por atalho de teclado.</w:t>
      </w:r>
    </w:p>
    <w:p>
      <w:pPr>
        <w:pStyle w:val="ListBullet"/>
      </w:pPr>
      <w:r>
        <w:rPr>
          <w:b/>
        </w:rPr>
        <w:t>Definições</w:t>
      </w:r>
      <w:r>
        <w:rPr/>
        <w:t xml:space="preserve"> — perfil, segurança, gestão de utilizadores, consulta da matriz de controlo de acesso e preferências de notificação.</w:t>
      </w:r>
    </w:p>
    <w:p>
      <w:pPr>
        <w:pStyle w:val="ListBullet"/>
      </w:pPr>
      <w:r>
        <w:rPr>
          <w:b/>
        </w:rPr>
        <w:t>Página pública</w:t>
      </w:r>
      <w:r>
        <w:rPr/>
        <w:t xml:space="preserve"> — sítio institucional de apresentação, servido na raiz do domínio.</w:t>
      </w:r>
    </w:p>
    <w:p>
      <w:pPr>
        <w:pStyle w:val="ListBullet"/>
      </w:pPr>
      <w:r>
        <w:rPr>
          <w:b/>
        </w:rPr>
        <w:t>Instalação e operação</w:t>
      </w:r>
      <w:r>
        <w:rPr/>
        <w:t xml:space="preserve"> — instalação em contentores num servidor próprio ou alugado, com certificado HTTPS renovado automaticamente.</w:t>
      </w:r>
    </w:p>
    <w:p>
      <w:pPr>
        <w:pStyle w:val="Heading3"/>
      </w:pPr>
      <w:r>
        <w:rPr>
          <w:b/>
        </w:rPr>
        <w:t>5.2 Fora de âmbito</w:t>
      </w:r>
    </w:p>
    <w:p>
      <w:pPr>
        <w:jc w:val="both"/>
      </w:pPr>
      <w:r>
        <w:rPr/>
        <w:t xml:space="preserve">Os pontos seguintes </w:t>
      </w:r>
      <w:r>
        <w:rPr>
          <w:b/>
        </w:rPr>
        <w:t>não</w:t>
      </w:r>
      <w:r>
        <w:rPr/>
        <w:t xml:space="preserve"> fazem parte do produto e não estão planeados:</w:t>
      </w:r>
    </w:p>
    <w:p>
      <w:pPr>
        <w:pStyle w:val="ListBullet"/>
      </w:pPr>
      <w:r>
        <w:rPr>
          <w:b/>
        </w:rPr>
        <w:t>Integração técnica com o SIJ.</w:t>
      </w:r>
      <w:r>
        <w:rPr/>
        <w:t xml:space="preserve"> O LexCV descreve-se como alinhado ao ecossistema do SIJ, mas não existe nem está planeada qualquer troca de dados, interface ou autenticação com o sistema judicial.</w:t>
      </w:r>
    </w:p>
    <w:p>
      <w:pPr>
        <w:pStyle w:val="ListBullet"/>
      </w:pPr>
      <w:r>
        <w:rPr/>
        <w:t>Contabilidade completa ou ERP.</w:t>
      </w:r>
    </w:p>
    <w:p>
      <w:pPr>
        <w:pStyle w:val="ListBullet"/>
      </w:pPr>
      <w:r>
        <w:rPr/>
        <w:t>Aplicação móvel nativa. A abordagem é Web responsiva.</w:t>
      </w:r>
    </w:p>
    <w:p>
      <w:pPr>
        <w:pStyle w:val="ListBullet"/>
      </w:pPr>
      <w:r>
        <w:rPr/>
        <w:t>Notificações por correio eletrónico ou push. As notificações são apenas dentro da aplicação.</w:t>
      </w:r>
    </w:p>
    <w:p>
      <w:pPr>
        <w:pStyle w:val="ListBullet"/>
      </w:pPr>
      <w:r>
        <w:rPr/>
        <w:t>Integração com Keycloak ou outro fornecedor de identidade institucional.</w:t>
      </w:r>
    </w:p>
    <w:p>
      <w:pPr>
        <w:pStyle w:val="ListBullet"/>
      </w:pPr>
      <w:r>
        <w:rPr/>
        <w:t>Cálculo automático de honorários e cômputo automático de prazos processuais.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6. Quem beneficia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57"/>
        <w:gridCol w:w="3057"/>
        <w:gridCol w:w="3057"/>
      </w:tblGrid>
      <w:tr>
        <w:trPr>
          <w:tblHeader/>
        </w:trPr>
        <w:tc>
          <w:tcPr>
            <w:tcW w:type="dxa" w:w="2373"/>
            <w:shd w:val="clear" w:color="auto" w:fill="E8EEF6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Beneficiário</w:t>
            </w:r>
          </w:p>
        </w:tc>
        <w:tc>
          <w:tcPr>
            <w:tcW w:type="dxa" w:w="2373"/>
            <w:shd w:val="clear" w:color="auto" w:fill="E8EEF6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Papel no sistema</w:t>
            </w:r>
          </w:p>
        </w:tc>
        <w:tc>
          <w:tcPr>
            <w:tcW w:type="dxa" w:w="4422"/>
            <w:shd w:val="clear" w:color="auto" w:fill="E8EEF6"/>
          </w:tcPr>
          <w:p>
            <w:pPr>
              <w:spacing w:after="40" w:line="240" w:lineRule="auto"/>
            </w:pPr>
            <w:r>
              <w:rPr>
                <w:b/>
                <w:sz w:val="20"/>
              </w:rPr>
              <w:t>Ganho principal</w:t>
            </w:r>
          </w:p>
        </w:tc>
      </w:tr>
      <w:tr>
        <w:tc>
          <w:tcPr>
            <w:tcW w:type="dxa" w:w="2373"/>
          </w:tcPr>
          <w:p>
            <w:pPr>
              <w:spacing w:after="40" w:line="240" w:lineRule="auto"/>
            </w:pPr>
            <w:r>
              <w:rPr>
                <w:sz w:val="20"/>
              </w:rPr>
              <w:t>Sócio ou responsável do escritório</w:t>
            </w:r>
          </w:p>
        </w:tc>
        <w:tc>
          <w:tcPr>
            <w:tcW w:type="dxa" w:w="2373"/>
          </w:tcPr>
          <w:p>
            <w:pPr>
              <w:spacing w:after="40" w:line="240" w:lineRule="auto"/>
            </w:pPr>
            <w:r>
              <w:rPr>
                <w:sz w:val="20"/>
              </w:rPr>
              <w:t>ADMIN</w:t>
            </w:r>
          </w:p>
        </w:tc>
        <w:tc>
          <w:tcPr>
            <w:tcW w:type="dxa" w:w="4422"/>
          </w:tcPr>
          <w:p>
            <w:pPr>
              <w:spacing w:after="40" w:line="240" w:lineRule="auto"/>
            </w:pPr>
            <w:r>
              <w:rPr>
                <w:sz w:val="20"/>
              </w:rPr>
              <w:t>Visão consolidada da carteira, do estado dos processos e da situação financeira</w:t>
            </w:r>
          </w:p>
        </w:tc>
      </w:tr>
      <w:tr>
        <w:tc>
          <w:tcPr>
            <w:tcW w:type="dxa" w:w="2373"/>
          </w:tcPr>
          <w:p>
            <w:pPr>
              <w:spacing w:after="40" w:line="240" w:lineRule="auto"/>
            </w:pPr>
            <w:r>
              <w:rPr>
                <w:sz w:val="20"/>
              </w:rPr>
              <w:t>Advogado</w:t>
            </w:r>
          </w:p>
        </w:tc>
        <w:tc>
          <w:tcPr>
            <w:tcW w:type="dxa" w:w="2373"/>
          </w:tcPr>
          <w:p>
            <w:pPr>
              <w:spacing w:after="40" w:line="240" w:lineRule="auto"/>
            </w:pPr>
            <w:r>
              <w:rPr>
                <w:sz w:val="20"/>
              </w:rPr>
              <w:t>ADVOGADO</w:t>
            </w:r>
          </w:p>
        </w:tc>
        <w:tc>
          <w:tcPr>
            <w:tcW w:type="dxa" w:w="4422"/>
          </w:tcPr>
          <w:p>
            <w:pPr>
              <w:spacing w:after="40" w:line="240" w:lineRule="auto"/>
            </w:pPr>
            <w:r>
              <w:rPr>
                <w:sz w:val="20"/>
              </w:rPr>
              <w:t>Ficha de processo completa, prazos destacados, pareceres versionados</w:t>
            </w:r>
          </w:p>
        </w:tc>
      </w:tr>
      <w:tr>
        <w:tc>
          <w:tcPr>
            <w:tcW w:type="dxa" w:w="2373"/>
          </w:tcPr>
          <w:p>
            <w:pPr>
              <w:spacing w:after="40" w:line="240" w:lineRule="auto"/>
            </w:pPr>
            <w:r>
              <w:rPr>
                <w:sz w:val="20"/>
              </w:rPr>
              <w:t>Técnico jurídico</w:t>
            </w:r>
          </w:p>
        </w:tc>
        <w:tc>
          <w:tcPr>
            <w:tcW w:type="dxa" w:w="2373"/>
          </w:tcPr>
          <w:p>
            <w:pPr>
              <w:spacing w:after="40" w:line="240" w:lineRule="auto"/>
            </w:pPr>
            <w:r>
              <w:rPr>
                <w:sz w:val="20"/>
              </w:rPr>
              <w:t>TECNICO</w:t>
            </w:r>
          </w:p>
        </w:tc>
        <w:tc>
          <w:tcPr>
            <w:tcW w:type="dxa" w:w="4422"/>
          </w:tcPr>
          <w:p>
            <w:pPr>
              <w:spacing w:after="40" w:line="240" w:lineRule="auto"/>
            </w:pPr>
            <w:r>
              <w:rPr>
                <w:sz w:val="20"/>
              </w:rPr>
              <w:t>Agenda e prazos sob gestão direta, consulta de processos e financeiro</w:t>
            </w:r>
          </w:p>
        </w:tc>
      </w:tr>
      <w:tr>
        <w:tc>
          <w:tcPr>
            <w:tcW w:type="dxa" w:w="2373"/>
          </w:tcPr>
          <w:p>
            <w:pPr>
              <w:spacing w:after="40" w:line="240" w:lineRule="auto"/>
            </w:pPr>
            <w:r>
              <w:rPr>
                <w:sz w:val="20"/>
              </w:rPr>
              <w:t>Assistente administrativo</w:t>
            </w:r>
          </w:p>
        </w:tc>
        <w:tc>
          <w:tcPr>
            <w:tcW w:type="dxa" w:w="2373"/>
          </w:tcPr>
          <w:p>
            <w:pPr>
              <w:spacing w:after="40" w:line="240" w:lineRule="auto"/>
            </w:pPr>
            <w:r>
              <w:rPr>
                <w:sz w:val="20"/>
              </w:rPr>
              <w:t>ASSISTENTE</w:t>
            </w:r>
          </w:p>
        </w:tc>
        <w:tc>
          <w:tcPr>
            <w:tcW w:type="dxa" w:w="4422"/>
          </w:tcPr>
          <w:p>
            <w:pPr>
              <w:spacing w:after="40" w:line="240" w:lineRule="auto"/>
            </w:pPr>
            <w:r>
              <w:rPr>
                <w:sz w:val="20"/>
              </w:rPr>
              <w:t>Registo e atualização de clientes, consulta de processos, agenda e documentos</w:t>
            </w:r>
          </w:p>
        </w:tc>
      </w:tr>
      <w:tr>
        <w:tc>
          <w:tcPr>
            <w:tcW w:type="dxa" w:w="2373"/>
          </w:tcPr>
          <w:p>
            <w:pPr>
              <w:spacing w:after="40" w:line="240" w:lineRule="auto"/>
            </w:pPr>
            <w:r>
              <w:rPr>
                <w:sz w:val="20"/>
              </w:rPr>
              <w:t>Operador da plataforma</w:t>
            </w:r>
          </w:p>
        </w:tc>
        <w:tc>
          <w:tcPr>
            <w:tcW w:type="dxa" w:w="2373"/>
          </w:tcPr>
          <w:p>
            <w:pPr>
              <w:spacing w:after="40" w:line="240" w:lineRule="auto"/>
            </w:pPr>
            <w:r>
              <w:rPr>
                <w:sz w:val="20"/>
              </w:rPr>
              <w:t>PLATAFORMA_ADMIN</w:t>
            </w:r>
          </w:p>
        </w:tc>
        <w:tc>
          <w:tcPr>
            <w:tcW w:type="dxa" w:w="4422"/>
          </w:tcPr>
          <w:p>
            <w:pPr>
              <w:spacing w:after="40" w:line="240" w:lineRule="auto"/>
            </w:pPr>
            <w:r>
              <w:rPr>
                <w:sz w:val="20"/>
              </w:rPr>
              <w:t>Criação de novos escritórios, limites de utilizadores e relatório de utilização para suporte à faturação</w:t>
            </w:r>
          </w:p>
        </w:tc>
      </w:tr>
      <w:tr>
        <w:tc>
          <w:tcPr>
            <w:tcW w:type="dxa" w:w="2373"/>
          </w:tcPr>
          <w:p>
            <w:pPr>
              <w:spacing w:after="40" w:line="240" w:lineRule="auto"/>
            </w:pPr>
            <w:r>
              <w:rPr>
                <w:sz w:val="20"/>
              </w:rPr>
              <w:t>Cliente do escritório</w:t>
            </w:r>
          </w:p>
        </w:tc>
        <w:tc>
          <w:tcPr>
            <w:tcW w:type="dxa" w:w="2373"/>
          </w:tcPr>
          <w:p>
            <w:pPr>
              <w:spacing w:after="40" w:line="240" w:lineRule="auto"/>
            </w:pPr>
            <w:r>
              <w:rPr>
                <w:sz w:val="20"/>
              </w:rPr>
              <w:t>— (não é utilizador da plataforma)</w:t>
            </w:r>
          </w:p>
        </w:tc>
        <w:tc>
          <w:tcPr>
            <w:tcW w:type="dxa" w:w="4422"/>
          </w:tcPr>
          <w:p>
            <w:pPr>
              <w:spacing w:after="40" w:line="240" w:lineRule="auto"/>
            </w:pPr>
            <w:r>
              <w:rPr>
                <w:sz w:val="20"/>
              </w:rPr>
              <w:t>Documentos formais coerentes (ficha de cliente, termo de honorários) e resposta mais rápida sobre o estado do processo</w:t>
            </w:r>
          </w:p>
        </w:tc>
      </w:tr>
    </w:tbl>
    <w:p>
      <w:pPr>
        <w:spacing w:after="80" w:line="240" w:lineRule="auto"/>
      </w:pPr>
    </w:p>
    <w:p>
      <w:pPr>
        <w:jc w:val="both"/>
      </w:pPr>
      <w:r>
        <w:rPr/>
        <w:t>A coluna "Papel no sistema" indica a correspondência habitual entre a função exercida no escritório e o papel atribuído na plataforma. É uma leitura de conveniência: o que determina o acesso de cada utilizador é o conjunto de permissões do papel que lhe for atribuído, e não o cargo que ocupa.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7. Pressupostos e restrições</w:t>
      </w:r>
    </w:p>
    <w:p>
      <w:pPr>
        <w:pStyle w:val="ListBullet"/>
      </w:pPr>
      <w:r>
        <w:rPr>
          <w:b/>
        </w:rPr>
        <w:t>Ligação à Internet.</w:t>
      </w:r>
      <w:r>
        <w:rPr/>
        <w:t xml:space="preserve"> A plataforma é servida por Web; os utilizadores necessitam de ligação para aceder.</w:t>
      </w:r>
    </w:p>
    <w:p>
      <w:pPr>
        <w:pStyle w:val="ListBullet"/>
      </w:pPr>
      <w:r>
        <w:rPr>
          <w:b/>
        </w:rPr>
        <w:t>Servidor dedicado.</w:t>
      </w:r>
      <w:r>
        <w:rPr/>
        <w:t xml:space="preserve"> A instalação requer um servidor com capacidade para executar contentores (Docker) e um nome de domínio apontado para esse servidor.</w:t>
      </w:r>
    </w:p>
    <w:p>
      <w:pPr>
        <w:pStyle w:val="ListBullet"/>
      </w:pPr>
      <w:r>
        <w:rPr>
          <w:b/>
        </w:rPr>
        <w:t>Limite de utilizadores por plano.</w:t>
      </w:r>
      <w:r>
        <w:rPr/>
        <w:t xml:space="preserve"> Cada escritório tem um plano e um limite de utilizadores ativos; ao atingir o limite, a criação de novos utilizadores é recusada até o plano ser ajustado.</w:t>
      </w:r>
    </w:p>
    <w:p>
      <w:pPr>
        <w:pStyle w:val="ListBullet"/>
      </w:pPr>
      <w:r>
        <w:rPr>
          <w:b/>
        </w:rPr>
        <w:t>A matriz de permissões é gerida pela plataforma.</w:t>
      </w:r>
      <w:r>
        <w:rPr/>
        <w:t xml:space="preserve"> O administrador do escritório consulta a matriz de controlo de acesso, mas não a altera.</w:t>
      </w:r>
    </w:p>
    <w:p>
      <w:pPr>
        <w:pStyle w:val="ListBullet"/>
      </w:pPr>
      <w:r>
        <w:rPr>
          <w:b/>
        </w:rPr>
        <w:t>Faturação manual.</w:t>
      </w:r>
      <w:r>
        <w:rPr/>
        <w:t xml:space="preserve"> O relatório de utilização por escritório suporta a faturação, que é executada fora do sistema.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8. Critérios de aceitação do projeto</w:t>
      </w:r>
    </w:p>
    <w:p>
      <w:pPr>
        <w:pStyle w:val="ListNumber"/>
      </w:pPr>
      <w:r>
        <w:rPr/>
        <w:t>Um utilizador com o papel adequado consegue percorrer o ciclo completo: registar cliente, abrir processo, formalizá-lo, marcar prazos, carregar documentos, registar honorários e pagamentos.</w:t>
      </w:r>
    </w:p>
    <w:p>
      <w:pPr>
        <w:pStyle w:val="ListNumber"/>
      </w:pPr>
      <w:r>
        <w:rPr/>
        <w:t>Um utilizador sem a permissão correspondente não acede ao módulo, quer pelo menu quer por endereço direto.</w:t>
      </w:r>
    </w:p>
    <w:p>
      <w:pPr>
        <w:pStyle w:val="ListNumber"/>
      </w:pPr>
      <w:r>
        <w:rPr/>
        <w:t>Os dados de um escritório não são visíveis a partir de outro escritório.</w:t>
      </w:r>
    </w:p>
    <w:p>
      <w:pPr>
        <w:pStyle w:val="ListNumber"/>
      </w:pPr>
      <w:r>
        <w:rPr/>
        <w:t>A Ficha de Cliente e o Termo de Honorários imprimem com os dados corretos.</w:t>
      </w:r>
    </w:p>
    <w:p>
      <w:pPr>
        <w:pStyle w:val="ListNumber"/>
      </w:pPr>
      <w:r>
        <w:rPr/>
        <w:t>Os alertas de prazo chegam ao destinatário certo e respeitam as preferências de silenciamento.</w:t>
      </w:r>
    </w:p>
    <w:p>
      <w:pPr>
        <w:spacing w:before="40" w:after="160"/>
        <w:pBdr>
          <w:bottom w:val="single" w:sz="6" w:space="1" w:color="B8C4D4"/>
        </w:pBdr>
      </w:pPr>
    </w:p>
    <w:p>
      <w:pPr>
        <w:pStyle w:val="Heading2"/>
      </w:pPr>
      <w:r>
        <w:rPr>
          <w:b/>
        </w:rPr>
        <w:t>9. Governação do documento</w:t>
      </w:r>
    </w:p>
    <w:p>
      <w:pPr>
        <w:jc w:val="both"/>
      </w:pPr>
      <w:r>
        <w:rPr/>
        <w:t>Este termo de abertura descreve o produto tal como existe à data de emissão, na versão v2.16. Alterações de âmbito, de plano ou de limite de utilizadores são acordadas por escrito entre as partes.</w:t>
      </w:r>
    </w:p>
    <w:p>
      <w:pPr>
        <w:spacing w:before="120" w:after="200" w:line="276" w:lineRule="auto"/>
        <w:ind w:left="340"/>
        <w:pBdr>
          <w:left w:val="single" w:sz="18" w:space="8" w:color="1B4D8F"/>
        </w:pBdr>
      </w:pPr>
      <w:r>
        <w:rPr>
          <w:b/>
        </w:rPr>
        <w:t>Nota:</w:t>
      </w:r>
      <w:r>
        <w:rPr/>
        <w:t xml:space="preserve"> este documento tem natureza técnica e comercial. Não constitui parecer jurídico. Qualquer utilização contratual carece de revisão por advogado.</w:t>
      </w:r>
    </w:p>
    <w:sectPr w:rsidR="00FC693F" w:rsidRPr="0006063C" w:rsidSect="00034616">
      <w:pgSz w:w="11906" w:h="16838"/>
      <w:pgMar w:top="1253" w:right="1368" w:bottom="1253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cs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F27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B4D8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B4D8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4D8F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76" w:lineRule="auto"/>
      <w:ind w:left="720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 w:line="276" w:lineRule="auto"/>
      <w:ind w:left="720"/>
      <w:contextualSpacing/>
    </w:pPr>
    <w:rPr>
      <w:rFonts w:ascii="Calibri" w:hAnsi="Calibr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LexCV — Termo de Abertura do Projeto</dc:title>
  <dc:subject/>
  <dc:creator>LexCV — business/scripts/gerar-docx.py</dc:creator>
  <cp:keywords/>
  <dc:description>Artefacto derivado. A fonte de verdade e o .md com o mesmo nome. Nao editar este ficheiro a mao; regenerar com business/scripts/gerar-docx.py.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