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0A2342"/>
          <w:sz w:val="72"/>
          <w:szCs w:val="72"/>
        </w:rPr>
        <w:t xml:space="preserve">LexCV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065A82"/>
          <w:sz w:val="40"/>
          <w:szCs w:val="40"/>
        </w:rPr>
        <w:t xml:space="preserve">Plano Financeiro SaaS</w:t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64748B"/>
          <w:sz w:val="28"/>
          <w:szCs w:val="28"/>
        </w:rPr>
        <w:t xml:space="preserve">Adaptado à Realidade Caboverdiana</w:t>
      </w:r>
    </w:p>
    <w:p>
      <w:pPr>
        <w:spacing w:after="0" w:before="400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Junho 2026  —  Confidencial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A2342"/>
          <w:sz w:val="32"/>
          <w:szCs w:val="32"/>
        </w:rPr>
        <w:t xml:space="preserve">1. Sumário Executivo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O LexCV é uma plataforma SaaS multi-tenant de gestão jurídica desenvolvida especificamente para escritórios de advogaça de Cabo Verde. Num mercado sem soluções locais dedicadas, o LexCV posiciona-se como o primeiro software nativo para a realidade cabo-verdiana: em crioulo administrativo, integrado com o Escúdo Cabo-Verdiano (CVE), e dimensionado para o perfil de escritórios de 1 a 20 utilizadores.</w:t>
      </w:r>
    </w:p>
    <w:p>
      <w:pPr>
        <w:spacing w:after="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O modelo de negócio é de subscrição mensal recorrente (SaaS), com quatro planos escaláveis. As projeções para o cenário base apontam para:</w:t>
      </w:r>
    </w:p>
    <w:p>
      <w:pPr>
        <w:spacing w:after="0" w:before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37"/>
        <w:gridCol w:w="1735"/>
        <w:gridCol w:w="1735"/>
        <w:gridCol w:w="1831"/>
      </w:tblGrid>
      <w:tr>
        <w:trPr>
          <w:tblHeader/>
        </w:trPr>
        <w:tc>
          <w:tcPr>
            <w:tcW w:type="dxa" w:w="4337"/>
            <w:tcBorders>
              <w:top w:val="single" w:color="065A82" w:sz="4"/>
              <w:left w:val="single" w:color="065A82" w:sz="4"/>
              <w:bottom w:val="single" w:color="065A82" w:sz="4"/>
              <w:right w:val="single" w:color="065A82" w:sz="4"/>
            </w:tcBorders>
            <w:shd w:fill="065A8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1735"/>
            <w:tcBorders>
              <w:top w:val="single" w:color="065A82" w:sz="4"/>
              <w:left w:val="single" w:color="065A82" w:sz="4"/>
              <w:bottom w:val="single" w:color="065A82" w:sz="4"/>
              <w:right w:val="single" w:color="065A82" w:sz="4"/>
            </w:tcBorders>
            <w:shd w:fill="065A8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Ano 1</w:t>
            </w:r>
          </w:p>
        </w:tc>
        <w:tc>
          <w:tcPr>
            <w:tcW w:type="dxa" w:w="1735"/>
            <w:tcBorders>
              <w:top w:val="single" w:color="065A82" w:sz="4"/>
              <w:left w:val="single" w:color="065A82" w:sz="4"/>
              <w:bottom w:val="single" w:color="065A82" w:sz="4"/>
              <w:right w:val="single" w:color="065A82" w:sz="4"/>
            </w:tcBorders>
            <w:shd w:fill="065A8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Ano 2</w:t>
            </w:r>
          </w:p>
        </w:tc>
        <w:tc>
          <w:tcPr>
            <w:tcW w:type="dxa" w:w="1831"/>
            <w:tcBorders>
              <w:top w:val="single" w:color="065A82" w:sz="4"/>
              <w:left w:val="single" w:color="065A82" w:sz="4"/>
              <w:bottom w:val="single" w:color="065A82" w:sz="4"/>
              <w:right w:val="single" w:color="065A82" w:sz="4"/>
            </w:tcBorders>
            <w:shd w:fill="065A8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Ano 3</w:t>
            </w:r>
          </w:p>
        </w:tc>
      </w:tr>
      <w:tr>
        <w:tc>
          <w:tcPr>
            <w:tcW w:type="dxa" w:w="433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Clientes activos (fim de ano)</w:t>
            </w:r>
          </w:p>
        </w:tc>
        <w:tc>
          <w:tcPr>
            <w:tcW w:type="dxa" w:w="173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</w:t>
            </w:r>
          </w:p>
        </w:tc>
        <w:tc>
          <w:tcPr>
            <w:tcW w:type="dxa" w:w="173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38</w:t>
            </w:r>
          </w:p>
        </w:tc>
        <w:tc>
          <w:tcPr>
            <w:tcW w:type="dxa" w:w="183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60</w:t>
            </w:r>
          </w:p>
        </w:tc>
      </w:tr>
      <w:tr>
        <w:tc>
          <w:tcPr>
            <w:tcW w:type="dxa" w:w="433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Receita anual (CVE)</w:t>
            </w:r>
          </w:p>
        </w:tc>
        <w:tc>
          <w:tcPr>
            <w:tcW w:type="dxa" w:w="173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1.380.000</w:t>
            </w:r>
          </w:p>
        </w:tc>
        <w:tc>
          <w:tcPr>
            <w:tcW w:type="dxa" w:w="173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3.200.000</w:t>
            </w:r>
          </w:p>
        </w:tc>
        <w:tc>
          <w:tcPr>
            <w:tcW w:type="dxa" w:w="183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5.400.000</w:t>
            </w:r>
          </w:p>
        </w:tc>
      </w:tr>
      <w:tr>
        <w:tc>
          <w:tcPr>
            <w:tcW w:type="dxa" w:w="433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Receita anual (EUR aprox.)</w:t>
            </w:r>
          </w:p>
        </w:tc>
        <w:tc>
          <w:tcPr>
            <w:tcW w:type="dxa" w:w="173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12.510 €</w:t>
            </w:r>
          </w:p>
        </w:tc>
        <w:tc>
          <w:tcPr>
            <w:tcW w:type="dxa" w:w="173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29.020 €</w:t>
            </w:r>
          </w:p>
        </w:tc>
        <w:tc>
          <w:tcPr>
            <w:tcW w:type="dxa" w:w="183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48.960 €</w:t>
            </w:r>
          </w:p>
        </w:tc>
      </w:tr>
      <w:tr>
        <w:tc>
          <w:tcPr>
            <w:tcW w:type="dxa" w:w="433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Custos operacionais anuais (CVE)</w:t>
            </w:r>
          </w:p>
        </w:tc>
        <w:tc>
          <w:tcPr>
            <w:tcW w:type="dxa" w:w="173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1.364.000</w:t>
            </w:r>
          </w:p>
        </w:tc>
        <w:tc>
          <w:tcPr>
            <w:tcW w:type="dxa" w:w="173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1.540.000</w:t>
            </w:r>
          </w:p>
        </w:tc>
        <w:tc>
          <w:tcPr>
            <w:tcW w:type="dxa" w:w="183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1.820.000</w:t>
            </w:r>
          </w:p>
        </w:tc>
      </w:tr>
      <w:tr>
        <w:tc>
          <w:tcPr>
            <w:tcW w:type="dxa" w:w="433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EBITDA (CVE)</w:t>
            </w:r>
          </w:p>
        </w:tc>
        <w:tc>
          <w:tcPr>
            <w:tcW w:type="dxa" w:w="173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−16.000</w:t>
            </w:r>
          </w:p>
        </w:tc>
        <w:tc>
          <w:tcPr>
            <w:tcW w:type="dxa" w:w="173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1.660.000</w:t>
            </w:r>
          </w:p>
        </w:tc>
        <w:tc>
          <w:tcPr>
            <w:tcW w:type="dxa" w:w="183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3.580.000</w:t>
            </w:r>
          </w:p>
        </w:tc>
      </w:tr>
      <w:tr>
        <w:tc>
          <w:tcPr>
            <w:tcW w:type="dxa" w:w="43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Break-even previsto</w:t>
            </w:r>
          </w:p>
        </w:tc>
        <w:tc>
          <w:tcPr>
            <w:tcW w:type="dxa" w:w="173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Mês 9 (Ano 1)</w:t>
            </w:r>
          </w:p>
        </w:tc>
        <w:tc>
          <w:tcPr>
            <w:tcW w:type="dxa" w:w="173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—</w:t>
            </w:r>
          </w:p>
        </w:tc>
        <w:tc>
          <w:tcPr>
            <w:tcW w:type="dxa" w:w="183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1E293B"/>
          <w:sz w:val="22"/>
          <w:szCs w:val="22"/>
        </w:rPr>
        <w:t xml:space="preserve">Investimento inicial estimado em 890.750 CVE (~8.080 EUR), maioritariamente capital de maneio. O retorno sobre o investimento é esperado no segundo semestre do Ano 2.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A2342"/>
          <w:sz w:val="32"/>
          <w:szCs w:val="32"/>
        </w:rPr>
        <w:t xml:space="preserve">2. Contexto do Mercado Caboverdiano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A82"/>
          <w:sz w:val="26"/>
          <w:szCs w:val="26"/>
        </w:rPr>
        <w:t xml:space="preserve">2.1 Enquadramento Macroeconómico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Cabo Verde apresenta em 2025–2026 um dos crescimentos económicos mais sólidos da África Ocidental, impulsionado pelo turismo e pelos serviços. As principais referências são:</w:t>
      </w:r>
    </w:p>
    <w:p>
      <w:pPr>
        <w:spacing w:after="0" w:before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01"/>
        <w:gridCol w:w="4337"/>
      </w:tblGrid>
      <w:tr>
        <w:trPr>
          <w:tblHeader/>
        </w:trPr>
        <w:tc>
          <w:tcPr>
            <w:tcW w:type="dxa" w:w="5301"/>
            <w:tcBorders>
              <w:top w:val="single" w:color="065A82" w:sz="4"/>
              <w:left w:val="single" w:color="065A82" w:sz="4"/>
              <w:bottom w:val="single" w:color="065A82" w:sz="4"/>
              <w:right w:val="single" w:color="065A82" w:sz="4"/>
            </w:tcBorders>
            <w:shd w:fill="065A8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Indicador Macroeconómico</w:t>
            </w:r>
          </w:p>
        </w:tc>
        <w:tc>
          <w:tcPr>
            <w:tcW w:type="dxa" w:w="4337"/>
            <w:tcBorders>
              <w:top w:val="single" w:color="065A82" w:sz="4"/>
              <w:left w:val="single" w:color="065A82" w:sz="4"/>
              <w:bottom w:val="single" w:color="065A82" w:sz="4"/>
              <w:right w:val="single" w:color="065A82" w:sz="4"/>
            </w:tcBorders>
            <w:shd w:fill="065A8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(2025–26)</w:t>
            </w:r>
          </w:p>
        </w:tc>
      </w:tr>
      <w:tr>
        <w:tc>
          <w:tcPr>
            <w:tcW w:type="dxa" w:w="53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PIB per capita</w:t>
            </w:r>
          </w:p>
        </w:tc>
        <w:tc>
          <w:tcPr>
            <w:tcW w:type="dxa" w:w="433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~5.710 USD / ~5.300 EUR</w:t>
            </w:r>
          </w:p>
        </w:tc>
      </w:tr>
      <w:tr>
        <w:tc>
          <w:tcPr>
            <w:tcW w:type="dxa" w:w="53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Crescimento do PIB</w:t>
            </w:r>
          </w:p>
        </w:tc>
        <w:tc>
          <w:tcPr>
            <w:tcW w:type="dxa" w:w="433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6,3% (2025)</w:t>
            </w:r>
          </w:p>
        </w:tc>
      </w:tr>
      <w:tr>
        <w:tc>
          <w:tcPr>
            <w:tcW w:type="dxa" w:w="53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Moeda (taxa de câmbio fixa)</w:t>
            </w:r>
          </w:p>
        </w:tc>
        <w:tc>
          <w:tcPr>
            <w:tcW w:type="dxa" w:w="433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 EUR = 110,265 CVE</w:t>
            </w:r>
          </w:p>
        </w:tc>
      </w:tr>
      <w:tr>
        <w:tc>
          <w:tcPr>
            <w:tcW w:type="dxa" w:w="53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Salário mínimo nacional (2025)</w:t>
            </w:r>
          </w:p>
        </w:tc>
        <w:tc>
          <w:tcPr>
            <w:tcW w:type="dxa" w:w="433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17.000 CVE/mês (sector privado)</w:t>
            </w:r>
          </w:p>
        </w:tc>
      </w:tr>
      <w:tr>
        <w:tc>
          <w:tcPr>
            <w:tcW w:type="dxa" w:w="53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Custo de vida mínimo na Praia</w:t>
            </w:r>
          </w:p>
        </w:tc>
        <w:tc>
          <w:tcPr>
            <w:tcW w:type="dxa" w:w="433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~33.156 CVE/mês</w:t>
            </w:r>
          </w:p>
        </w:tc>
      </w:tr>
      <w:tr>
        <w:tc>
          <w:tcPr>
            <w:tcW w:type="dxa" w:w="53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População total</w:t>
            </w:r>
          </w:p>
        </w:tc>
        <w:tc>
          <w:tcPr>
            <w:tcW w:type="dxa" w:w="433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~590.000 habitantes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 ancoragem do CVE ao Euro (taxa fixa desde 1999) confere estabilidade cambial e elimina o risco de desvalorização para clientes que comparam preços com soluções portuguesas.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A82"/>
          <w:sz w:val="26"/>
          <w:szCs w:val="26"/>
        </w:rPr>
        <w:t xml:space="preserve">2.2 Mercado Jurídico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O exercício da advocaça em Cabo Verde é regulado pela Ordem dos Advogados de Cabo Verde (OACV). O mercado caracteriza-se por: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Concentração geográfica nas ilhas de Santiago (Praia), São Vicente (Mindelo) e Sal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Predominância de escritórios de pequena dimensão (1 a 5 advogados)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Escritórios de referência: VPQ Advogados, D. Hopffer Almada &amp; Associados, JUSCV, Miranda Alliance (CV)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Estimativa de 350–550 advogados inscritos na OACV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80–130 escritórios/gabinetes jurídicos activos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Gestão corrente ainda baseada em Excel, papel e email</w:t>
      </w:r>
    </w:p>
    <w:p>
      <w:pPr>
        <w:spacing w:after="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Nenhuma solução SaaS jurídica nativa para Cabo Verde existe no mercado. As alternativas são soluções portuguesas (preços 3–6x superiores, sem adaptação local) ou brasileiras (diferente sistema jurídico e moeda).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A82"/>
          <w:sz w:val="26"/>
          <w:szCs w:val="26"/>
        </w:rPr>
        <w:t xml:space="preserve">2.3 Tendências de Digitalização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41% dos escritórios de advocaça em África já adoptam soluções SaaS para automatização jurídica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Crescimento de 49% nas implantações cloud na região Médio Oriente &amp; África (MEA)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Programa governamental de digitalização da Justiça em curso em Cabo Verde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Acesso à internet móvel crescente nas ilhas principais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A2342"/>
          <w:sz w:val="32"/>
          <w:szCs w:val="32"/>
        </w:rPr>
        <w:t xml:space="preserve">3. Modelo de Negócio SaaS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A82"/>
          <w:sz w:val="26"/>
          <w:szCs w:val="26"/>
        </w:rPr>
        <w:t xml:space="preserve">3.1 Proposta de Valor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O LexCV é a única plataforma de gestão jurídica concebida para a realidade de Cabo Verde: em português, com preços em CVE, multi-tenant, e com suporte local. Substitui Excel, papel e email por um sistema centralizado que cobre todo o ciclo do processo jurídico.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A82"/>
          <w:sz w:val="26"/>
          <w:szCs w:val="26"/>
        </w:rPr>
        <w:t xml:space="preserve">3.2 Planos e Precário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O preciário foi calibrado em função do poder de compra cabo-verdiano. Um advogado sénior gera tipicamente 80.000–200.000 CVE/mês em honorários, tornando os planos abaixo acessíveis e facilmente justificáveis como custo operacional:</w:t>
      </w:r>
    </w:p>
    <w:p>
      <w:pPr>
        <w:spacing w:after="0" w:before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1735"/>
        <w:gridCol w:w="1735"/>
        <w:gridCol w:w="2120"/>
        <w:gridCol w:w="1928"/>
      </w:tblGrid>
      <w:tr>
        <w:trPr>
          <w:tblHeader/>
        </w:trPr>
        <w:tc>
          <w:tcPr>
            <w:tcW w:type="dxa" w:w="2120"/>
            <w:tcBorders>
              <w:top w:val="single" w:color="065A82" w:sz="4"/>
              <w:left w:val="single" w:color="065A82" w:sz="4"/>
              <w:bottom w:val="single" w:color="065A82" w:sz="4"/>
              <w:right w:val="single" w:color="065A82" w:sz="4"/>
            </w:tcBorders>
            <w:shd w:fill="065A8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Plano</w:t>
            </w:r>
          </w:p>
        </w:tc>
        <w:tc>
          <w:tcPr>
            <w:tcW w:type="dxa" w:w="1735"/>
            <w:tcBorders>
              <w:top w:val="single" w:color="065A82" w:sz="4"/>
              <w:left w:val="single" w:color="065A82" w:sz="4"/>
              <w:bottom w:val="single" w:color="065A82" w:sz="4"/>
              <w:right w:val="single" w:color="065A82" w:sz="4"/>
            </w:tcBorders>
            <w:shd w:fill="065A8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Utilizadores</w:t>
            </w:r>
          </w:p>
        </w:tc>
        <w:tc>
          <w:tcPr>
            <w:tcW w:type="dxa" w:w="1735"/>
            <w:tcBorders>
              <w:top w:val="single" w:color="065A82" w:sz="4"/>
              <w:left w:val="single" w:color="065A82" w:sz="4"/>
              <w:bottom w:val="single" w:color="065A82" w:sz="4"/>
              <w:right w:val="single" w:color="065A82" w:sz="4"/>
            </w:tcBorders>
            <w:shd w:fill="065A8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CVE/mês</w:t>
            </w:r>
          </w:p>
        </w:tc>
        <w:tc>
          <w:tcPr>
            <w:tcW w:type="dxa" w:w="2120"/>
            <w:tcBorders>
              <w:top w:val="single" w:color="065A82" w:sz="4"/>
              <w:left w:val="single" w:color="065A82" w:sz="4"/>
              <w:bottom w:val="single" w:color="065A82" w:sz="4"/>
              <w:right w:val="single" w:color="065A82" w:sz="4"/>
            </w:tcBorders>
            <w:shd w:fill="065A8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EUR/mês (aprox.)</w:t>
            </w:r>
          </w:p>
        </w:tc>
        <w:tc>
          <w:tcPr>
            <w:tcW w:type="dxa" w:w="1928"/>
            <w:tcBorders>
              <w:top w:val="single" w:color="065A82" w:sz="4"/>
              <w:left w:val="single" w:color="065A82" w:sz="4"/>
              <w:bottom w:val="single" w:color="065A82" w:sz="4"/>
              <w:right w:val="single" w:color="065A82" w:sz="4"/>
            </w:tcBorders>
            <w:shd w:fill="065A8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Público-alvo</w:t>
            </w:r>
          </w:p>
        </w:tc>
      </w:tr>
      <w:tr>
        <w:tc>
          <w:tcPr>
            <w:tcW w:type="dxa" w:w="2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Solo</w:t>
            </w:r>
          </w:p>
        </w:tc>
        <w:tc>
          <w:tcPr>
            <w:tcW w:type="dxa" w:w="173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173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2.500</w:t>
            </w:r>
          </w:p>
        </w:tc>
        <w:tc>
          <w:tcPr>
            <w:tcW w:type="dxa" w:w="2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~22,70 €</w:t>
            </w:r>
          </w:p>
        </w:tc>
        <w:tc>
          <w:tcPr>
            <w:tcW w:type="dxa" w:w="192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Advogado autónomo</w:t>
            </w:r>
          </w:p>
        </w:tc>
      </w:tr>
      <w:tr>
        <w:tc>
          <w:tcPr>
            <w:tcW w:type="dxa" w:w="2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Equipa</w:t>
            </w:r>
          </w:p>
        </w:tc>
        <w:tc>
          <w:tcPr>
            <w:tcW w:type="dxa" w:w="173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Até 5</w:t>
            </w:r>
          </w:p>
        </w:tc>
        <w:tc>
          <w:tcPr>
            <w:tcW w:type="dxa" w:w="173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5.500</w:t>
            </w:r>
          </w:p>
        </w:tc>
        <w:tc>
          <w:tcPr>
            <w:tcW w:type="dxa" w:w="2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~49,90 €</w:t>
            </w:r>
          </w:p>
        </w:tc>
        <w:tc>
          <w:tcPr>
            <w:tcW w:type="dxa" w:w="192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Gabinete pequeno</w:t>
            </w:r>
          </w:p>
        </w:tc>
      </w:tr>
      <w:tr>
        <w:tc>
          <w:tcPr>
            <w:tcW w:type="dxa" w:w="2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Escritório</w:t>
            </w:r>
          </w:p>
        </w:tc>
        <w:tc>
          <w:tcPr>
            <w:tcW w:type="dxa" w:w="173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Até 15</w:t>
            </w:r>
          </w:p>
        </w:tc>
        <w:tc>
          <w:tcPr>
            <w:tcW w:type="dxa" w:w="173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10.500</w:t>
            </w:r>
          </w:p>
        </w:tc>
        <w:tc>
          <w:tcPr>
            <w:tcW w:type="dxa" w:w="2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~95,20 €</w:t>
            </w:r>
          </w:p>
        </w:tc>
        <w:tc>
          <w:tcPr>
            <w:tcW w:type="dxa" w:w="192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Escritório médio</w:t>
            </w:r>
          </w:p>
        </w:tc>
      </w:tr>
      <w:tr>
        <w:tc>
          <w:tcPr>
            <w:tcW w:type="dxa" w:w="2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Enterprise</w:t>
            </w:r>
          </w:p>
        </w:tc>
        <w:tc>
          <w:tcPr>
            <w:tcW w:type="dxa" w:w="173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Ilimitado + SLA</w:t>
            </w:r>
          </w:p>
        </w:tc>
        <w:tc>
          <w:tcPr>
            <w:tcW w:type="dxa" w:w="173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18.000</w:t>
            </w:r>
          </w:p>
        </w:tc>
        <w:tc>
          <w:tcPr>
            <w:tcW w:type="dxa" w:w="2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~163,20 €</w:t>
            </w:r>
          </w:p>
        </w:tc>
        <w:tc>
          <w:tcPr>
            <w:tcW w:type="dxa" w:w="192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Grande firma / Dept. jurídico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Desconto de 15% para pagamento anual antecipado. Trial gratuito de 30 dias sem cartão de crédito.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1E293B"/>
          <w:sz w:val="22"/>
          <w:szCs w:val="22"/>
        </w:rPr>
        <w:t xml:space="preserve">Receita média por cliente (ARPU) estimada: 7.000–8.000 CVE/mês (mix de planos).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A82"/>
          <w:sz w:val="26"/>
          <w:szCs w:val="26"/>
        </w:rPr>
        <w:t xml:space="preserve">3.3 Fontes de Receita Complementares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Onboarding assistido (taxa única de configuração): 15.000–30.000 CVE por cliente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Formação presencial ou remota: 5.000–10.000 CVE por sessão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Integrações personalizadas (Fase 3): tarifa por projecto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Parceria com a OACV para licenças institucionais (potencial Fase 2)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A2342"/>
          <w:sz w:val="32"/>
          <w:szCs w:val="32"/>
        </w:rPr>
        <w:t xml:space="preserve">4. Mercado Alvo — TAM / SAM / SOM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 análise de mercado foca no universo de escritórios de advocaça activos em Cabo Verde, com expansão potencial para outros países lusófonos africanos (PALOP) na Fase 3.</w:t>
      </w:r>
    </w:p>
    <w:p>
      <w:pPr>
        <w:spacing w:after="0" w:before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49"/>
        <w:gridCol w:w="2699"/>
        <w:gridCol w:w="2699"/>
        <w:gridCol w:w="2891"/>
      </w:tblGrid>
      <w:tr>
        <w:trPr>
          <w:tblHeader/>
        </w:trPr>
        <w:tc>
          <w:tcPr>
            <w:tcW w:type="dxa" w:w="1349"/>
            <w:tcBorders>
              <w:top w:val="single" w:color="065A82" w:sz="4"/>
              <w:left w:val="single" w:color="065A82" w:sz="4"/>
              <w:bottom w:val="single" w:color="065A82" w:sz="4"/>
              <w:right w:val="single" w:color="065A82" w:sz="4"/>
            </w:tcBorders>
            <w:shd w:fill="065A8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699"/>
            <w:tcBorders>
              <w:top w:val="single" w:color="065A82" w:sz="4"/>
              <w:left w:val="single" w:color="065A82" w:sz="4"/>
              <w:bottom w:val="single" w:color="065A82" w:sz="4"/>
              <w:right w:val="single" w:color="065A82" w:sz="4"/>
            </w:tcBorders>
            <w:shd w:fill="065A8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Mercado</w:t>
            </w:r>
          </w:p>
        </w:tc>
        <w:tc>
          <w:tcPr>
            <w:tcW w:type="dxa" w:w="2699"/>
            <w:tcBorders>
              <w:top w:val="single" w:color="065A82" w:sz="4"/>
              <w:left w:val="single" w:color="065A82" w:sz="4"/>
              <w:bottom w:val="single" w:color="065A82" w:sz="4"/>
              <w:right w:val="single" w:color="065A82" w:sz="4"/>
            </w:tcBorders>
            <w:shd w:fill="065A8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Clientes Potenciais</w:t>
            </w:r>
          </w:p>
        </w:tc>
        <w:tc>
          <w:tcPr>
            <w:tcW w:type="dxa" w:w="2891"/>
            <w:tcBorders>
              <w:top w:val="single" w:color="065A82" w:sz="4"/>
              <w:left w:val="single" w:color="065A82" w:sz="4"/>
              <w:bottom w:val="single" w:color="065A82" w:sz="4"/>
              <w:right w:val="single" w:color="065A82" w:sz="4"/>
            </w:tcBorders>
            <w:shd w:fill="065A8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Receita Anual Potencial (CVE)</w:t>
            </w:r>
          </w:p>
        </w:tc>
      </w:tr>
      <w:tr>
        <w:tc>
          <w:tcPr>
            <w:tcW w:type="dxa" w:w="1349"/>
            <w:tcBorders>
              <w:top w:val="single" w:color="0A2342" w:sz="4"/>
              <w:left w:val="single" w:color="0A2342" w:sz="4"/>
              <w:bottom w:val="single" w:color="0A2342" w:sz="4"/>
              <w:right w:val="single" w:color="0A2342" w:sz="4"/>
            </w:tcBorders>
            <w:shd w:fill="0A234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TAM</w:t>
            </w:r>
          </w:p>
        </w:tc>
        <w:tc>
          <w:tcPr>
            <w:tcW w:type="dxa" w:w="269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Todos os escritórios de Cabo Verde</w:t>
            </w:r>
          </w:p>
        </w:tc>
        <w:tc>
          <w:tcPr>
            <w:tcW w:type="dxa" w:w="269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~120 escritórios</w:t>
            </w:r>
          </w:p>
        </w:tc>
        <w:tc>
          <w:tcPr>
            <w:tcW w:type="dxa" w:w="289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~11.520.000 CVE/ano</w:t>
            </w:r>
          </w:p>
        </w:tc>
      </w:tr>
      <w:tr>
        <w:tc>
          <w:tcPr>
            <w:tcW w:type="dxa" w:w="1349"/>
            <w:tcBorders>
              <w:top w:val="single" w:color="065A82" w:sz="4"/>
              <w:left w:val="single" w:color="065A82" w:sz="4"/>
              <w:bottom w:val="single" w:color="065A82" w:sz="4"/>
              <w:right w:val="single" w:color="065A82" w:sz="4"/>
            </w:tcBorders>
            <w:shd w:fill="065A8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SAM</w:t>
            </w:r>
          </w:p>
        </w:tc>
        <w:tc>
          <w:tcPr>
            <w:tcW w:type="dxa" w:w="269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Alcanceáveis (Praia + Mindelo + Sal)</w:t>
            </w:r>
          </w:p>
        </w:tc>
        <w:tc>
          <w:tcPr>
            <w:tcW w:type="dxa" w:w="269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~75 escritórios</w:t>
            </w:r>
          </w:p>
        </w:tc>
        <w:tc>
          <w:tcPr>
            <w:tcW w:type="dxa" w:w="289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~7.200.000 CVE/ano</w:t>
            </w:r>
          </w:p>
        </w:tc>
      </w:tr>
      <w:tr>
        <w:tc>
          <w:tcPr>
            <w:tcW w:type="dxa" w:w="1349"/>
            <w:tcBorders>
              <w:top w:val="single" w:color="1C7293" w:sz="4"/>
              <w:left w:val="single" w:color="1C7293" w:sz="4"/>
              <w:bottom w:val="single" w:color="1C7293" w:sz="4"/>
              <w:right w:val="single" w:color="1C7293" w:sz="4"/>
            </w:tcBorders>
            <w:shd w:fill="1C7293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SOM</w:t>
            </w:r>
          </w:p>
        </w:tc>
        <w:tc>
          <w:tcPr>
            <w:tcW w:type="dxa" w:w="269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Alvo realista (3 anos)</w:t>
            </w:r>
          </w:p>
        </w:tc>
        <w:tc>
          <w:tcPr>
            <w:tcW w:type="dxa" w:w="269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~60 escritórios (50% SAM)</w:t>
            </w:r>
          </w:p>
        </w:tc>
        <w:tc>
          <w:tcPr>
            <w:tcW w:type="dxa" w:w="289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~5.760.000 CVE/ano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 posição de primeiro mover (first mover) e a ausência de concorrência local directa tornam uma penetração de 50% do SAM no horizonte de 3 anos plausível, especialmente com apoio institucional da OACV.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A2342"/>
          <w:sz w:val="32"/>
          <w:szCs w:val="32"/>
        </w:rPr>
        <w:t xml:space="preserve">5. Estrutura de Custos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A82"/>
          <w:sz w:val="26"/>
          <w:szCs w:val="26"/>
        </w:rPr>
        <w:t xml:space="preserve">5.1 Investimento Inicial (Arranque)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O LexCV já se encontra desenvolvido. O investimento de arranque é essencialmente operacional e de capital de maneio:</w:t>
      </w:r>
    </w:p>
    <w:p>
      <w:pPr>
        <w:spacing w:after="0" w:before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01"/>
        <w:gridCol w:w="2120"/>
        <w:gridCol w:w="2217"/>
      </w:tblGrid>
      <w:tr>
        <w:trPr>
          <w:tblHeader/>
        </w:trPr>
        <w:tc>
          <w:tcPr>
            <w:tcW w:type="dxa" w:w="5301"/>
            <w:tcBorders>
              <w:top w:val="single" w:color="065A82" w:sz="4"/>
              <w:left w:val="single" w:color="065A82" w:sz="4"/>
              <w:bottom w:val="single" w:color="065A82" w:sz="4"/>
              <w:right w:val="single" w:color="065A82" w:sz="4"/>
            </w:tcBorders>
            <w:shd w:fill="065A8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Rubrica</w:t>
            </w:r>
          </w:p>
        </w:tc>
        <w:tc>
          <w:tcPr>
            <w:tcW w:type="dxa" w:w="2120"/>
            <w:tcBorders>
              <w:top w:val="single" w:color="065A82" w:sz="4"/>
              <w:left w:val="single" w:color="065A82" w:sz="4"/>
              <w:bottom w:val="single" w:color="065A82" w:sz="4"/>
              <w:right w:val="single" w:color="065A82" w:sz="4"/>
            </w:tcBorders>
            <w:shd w:fill="065A8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CVE</w:t>
            </w:r>
          </w:p>
        </w:tc>
        <w:tc>
          <w:tcPr>
            <w:tcW w:type="dxa" w:w="2217"/>
            <w:tcBorders>
              <w:top w:val="single" w:color="065A82" w:sz="4"/>
              <w:left w:val="single" w:color="065A82" w:sz="4"/>
              <w:bottom w:val="single" w:color="065A82" w:sz="4"/>
              <w:right w:val="single" w:color="065A82" w:sz="4"/>
            </w:tcBorders>
            <w:shd w:fill="065A8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EUR (aprox.)</w:t>
            </w:r>
          </w:p>
        </w:tc>
      </w:tr>
      <w:tr>
        <w:tc>
          <w:tcPr>
            <w:tcW w:type="dxa" w:w="53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Configuração infra. produção (cloud, domínio, SSL)</w:t>
            </w:r>
          </w:p>
        </w:tc>
        <w:tc>
          <w:tcPr>
            <w:tcW w:type="dxa" w:w="2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44.000</w:t>
            </w:r>
          </w:p>
        </w:tc>
        <w:tc>
          <w:tcPr>
            <w:tcW w:type="dxa" w:w="221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~400 €</w:t>
            </w:r>
          </w:p>
        </w:tc>
      </w:tr>
      <w:tr>
        <w:tc>
          <w:tcPr>
            <w:tcW w:type="dxa" w:w="53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Marketing inicial (site institucional, materiais, redes)</w:t>
            </w:r>
          </w:p>
        </w:tc>
        <w:tc>
          <w:tcPr>
            <w:tcW w:type="dxa" w:w="2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110.000</w:t>
            </w:r>
          </w:p>
        </w:tc>
        <w:tc>
          <w:tcPr>
            <w:tcW w:type="dxa" w:w="221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~1.000 €</w:t>
            </w:r>
          </w:p>
        </w:tc>
      </w:tr>
      <w:tr>
        <w:tc>
          <w:tcPr>
            <w:tcW w:type="dxa" w:w="53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Constituição de empresa e aspectos legais</w:t>
            </w:r>
          </w:p>
        </w:tc>
        <w:tc>
          <w:tcPr>
            <w:tcW w:type="dxa" w:w="2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55.000</w:t>
            </w:r>
          </w:p>
        </w:tc>
        <w:tc>
          <w:tcPr>
            <w:tcW w:type="dxa" w:w="221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~500 €</w:t>
            </w:r>
          </w:p>
        </w:tc>
      </w:tr>
      <w:tr>
        <w:tc>
          <w:tcPr>
            <w:tcW w:type="dxa" w:w="53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Capital de maneio (6 meses de custos fixos)</w:t>
            </w:r>
          </w:p>
        </w:tc>
        <w:tc>
          <w:tcPr>
            <w:tcW w:type="dxa" w:w="2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681.750</w:t>
            </w:r>
          </w:p>
        </w:tc>
        <w:tc>
          <w:tcPr>
            <w:tcW w:type="dxa" w:w="221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~6.180 €</w:t>
            </w:r>
          </w:p>
        </w:tc>
      </w:tr>
      <w:tr>
        <w:tc>
          <w:tcPr>
            <w:tcW w:type="dxa" w:w="530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TOTAL INVESTIMENTO INICIAL</w:t>
            </w:r>
          </w:p>
        </w:tc>
        <w:tc>
          <w:tcPr>
            <w:tcW w:type="dxa" w:w="2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890.750</w:t>
            </w:r>
          </w:p>
        </w:tc>
        <w:tc>
          <w:tcPr>
            <w:tcW w:type="dxa" w:w="221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~8.080 €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A82"/>
          <w:sz w:val="26"/>
          <w:szCs w:val="26"/>
        </w:rPr>
        <w:t xml:space="preserve">5.2 Custos Operacionais Anuais (Fase de Crescimento)</w:t>
      </w:r>
    </w:p>
    <w:p>
      <w:pPr>
        <w:spacing w:after="0" w:before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33"/>
        <w:gridCol w:w="1735"/>
        <w:gridCol w:w="1735"/>
        <w:gridCol w:w="1735"/>
      </w:tblGrid>
      <w:tr>
        <w:trPr>
          <w:tblHeader/>
        </w:trPr>
        <w:tc>
          <w:tcPr>
            <w:tcW w:type="dxa" w:w="4433"/>
            <w:tcBorders>
              <w:top w:val="single" w:color="065A82" w:sz="4"/>
              <w:left w:val="single" w:color="065A82" w:sz="4"/>
              <w:bottom w:val="single" w:color="065A82" w:sz="4"/>
              <w:right w:val="single" w:color="065A82" w:sz="4"/>
            </w:tcBorders>
            <w:shd w:fill="065A8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Rubrica</w:t>
            </w:r>
          </w:p>
        </w:tc>
        <w:tc>
          <w:tcPr>
            <w:tcW w:type="dxa" w:w="1735"/>
            <w:tcBorders>
              <w:top w:val="single" w:color="065A82" w:sz="4"/>
              <w:left w:val="single" w:color="065A82" w:sz="4"/>
              <w:bottom w:val="single" w:color="065A82" w:sz="4"/>
              <w:right w:val="single" w:color="065A82" w:sz="4"/>
            </w:tcBorders>
            <w:shd w:fill="065A8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Ano 1 (CVE)</w:t>
            </w:r>
          </w:p>
        </w:tc>
        <w:tc>
          <w:tcPr>
            <w:tcW w:type="dxa" w:w="1735"/>
            <w:tcBorders>
              <w:top w:val="single" w:color="065A82" w:sz="4"/>
              <w:left w:val="single" w:color="065A82" w:sz="4"/>
              <w:bottom w:val="single" w:color="065A82" w:sz="4"/>
              <w:right w:val="single" w:color="065A82" w:sz="4"/>
            </w:tcBorders>
            <w:shd w:fill="065A8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Ano 2 (CVE)</w:t>
            </w:r>
          </w:p>
        </w:tc>
        <w:tc>
          <w:tcPr>
            <w:tcW w:type="dxa" w:w="1735"/>
            <w:tcBorders>
              <w:top w:val="single" w:color="065A82" w:sz="4"/>
              <w:left w:val="single" w:color="065A82" w:sz="4"/>
              <w:bottom w:val="single" w:color="065A82" w:sz="4"/>
              <w:right w:val="single" w:color="065A82" w:sz="4"/>
            </w:tcBorders>
            <w:shd w:fill="065A8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Ano 3 (CVE)</w:t>
            </w:r>
          </w:p>
        </w:tc>
      </w:tr>
      <w:tr>
        <w:tc>
          <w:tcPr>
            <w:tcW w:type="dxa" w:w="44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Infra. cloud (hosting, BD, backups, CDN)</w:t>
            </w:r>
          </w:p>
        </w:tc>
        <w:tc>
          <w:tcPr>
            <w:tcW w:type="dxa" w:w="173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132.000</w:t>
            </w:r>
          </w:p>
        </w:tc>
        <w:tc>
          <w:tcPr>
            <w:tcW w:type="dxa" w:w="173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165.000</w:t>
            </w:r>
          </w:p>
        </w:tc>
        <w:tc>
          <w:tcPr>
            <w:tcW w:type="dxa" w:w="173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198.000</w:t>
            </w:r>
          </w:p>
        </w:tc>
      </w:tr>
      <w:tr>
        <w:tc>
          <w:tcPr>
            <w:tcW w:type="dxa" w:w="44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Domínio, SSL, email profissional</w:t>
            </w:r>
          </w:p>
        </w:tc>
        <w:tc>
          <w:tcPr>
            <w:tcW w:type="dxa" w:w="173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16.500</w:t>
            </w:r>
          </w:p>
        </w:tc>
        <w:tc>
          <w:tcPr>
            <w:tcW w:type="dxa" w:w="173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16.500</w:t>
            </w:r>
          </w:p>
        </w:tc>
        <w:tc>
          <w:tcPr>
            <w:tcW w:type="dxa" w:w="173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16.500</w:t>
            </w:r>
          </w:p>
        </w:tc>
      </w:tr>
      <w:tr>
        <w:tc>
          <w:tcPr>
            <w:tcW w:type="dxa" w:w="44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Suporte ao cliente (part-time ~20h/sem)</w:t>
            </w:r>
          </w:p>
        </w:tc>
        <w:tc>
          <w:tcPr>
            <w:tcW w:type="dxa" w:w="173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312.000</w:t>
            </w:r>
          </w:p>
        </w:tc>
        <w:tc>
          <w:tcPr>
            <w:tcW w:type="dxa" w:w="173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360.000</w:t>
            </w:r>
          </w:p>
        </w:tc>
        <w:tc>
          <w:tcPr>
            <w:tcW w:type="dxa" w:w="173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480.000</w:t>
            </w:r>
          </w:p>
        </w:tc>
      </w:tr>
      <w:tr>
        <w:tc>
          <w:tcPr>
            <w:tcW w:type="dxa" w:w="44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Marketing e aquisição (redes, eventos OACV)</w:t>
            </w:r>
          </w:p>
        </w:tc>
        <w:tc>
          <w:tcPr>
            <w:tcW w:type="dxa" w:w="173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220.000</w:t>
            </w:r>
          </w:p>
        </w:tc>
        <w:tc>
          <w:tcPr>
            <w:tcW w:type="dxa" w:w="173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264.000</w:t>
            </w:r>
          </w:p>
        </w:tc>
        <w:tc>
          <w:tcPr>
            <w:tcW w:type="dxa" w:w="173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308.000</w:t>
            </w:r>
          </w:p>
        </w:tc>
      </w:tr>
      <w:tr>
        <w:tc>
          <w:tcPr>
            <w:tcW w:type="dxa" w:w="44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Manutenção e novos features (dev part-time)</w:t>
            </w:r>
          </w:p>
        </w:tc>
        <w:tc>
          <w:tcPr>
            <w:tcW w:type="dxa" w:w="173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480.000</w:t>
            </w:r>
          </w:p>
        </w:tc>
        <w:tc>
          <w:tcPr>
            <w:tcW w:type="dxa" w:w="173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528.000</w:t>
            </w:r>
          </w:p>
        </w:tc>
        <w:tc>
          <w:tcPr>
            <w:tcW w:type="dxa" w:w="173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600.000</w:t>
            </w:r>
          </w:p>
        </w:tc>
      </w:tr>
      <w:tr>
        <w:tc>
          <w:tcPr>
            <w:tcW w:type="dxa" w:w="44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Contabilidade e aspectos legais</w:t>
            </w:r>
          </w:p>
        </w:tc>
        <w:tc>
          <w:tcPr>
            <w:tcW w:type="dxa" w:w="173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72.000</w:t>
            </w:r>
          </w:p>
        </w:tc>
        <w:tc>
          <w:tcPr>
            <w:tcW w:type="dxa" w:w="173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72.000</w:t>
            </w:r>
          </w:p>
        </w:tc>
        <w:tc>
          <w:tcPr>
            <w:tcW w:type="dxa" w:w="173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84.000</w:t>
            </w:r>
          </w:p>
        </w:tc>
      </w:tr>
      <w:tr>
        <w:tc>
          <w:tcPr>
            <w:tcW w:type="dxa" w:w="44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Comunicações, deslocações e outros</w:t>
            </w:r>
          </w:p>
        </w:tc>
        <w:tc>
          <w:tcPr>
            <w:tcW w:type="dxa" w:w="173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66.000</w:t>
            </w:r>
          </w:p>
        </w:tc>
        <w:tc>
          <w:tcPr>
            <w:tcW w:type="dxa" w:w="173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72.000</w:t>
            </w:r>
          </w:p>
        </w:tc>
        <w:tc>
          <w:tcPr>
            <w:tcW w:type="dxa" w:w="173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72.000</w:t>
            </w:r>
          </w:p>
        </w:tc>
      </w:tr>
      <w:tr>
        <w:tc>
          <w:tcPr>
            <w:tcW w:type="dxa" w:w="44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Contingência (5%)</w:t>
            </w:r>
          </w:p>
        </w:tc>
        <w:tc>
          <w:tcPr>
            <w:tcW w:type="dxa" w:w="173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64.925</w:t>
            </w:r>
          </w:p>
        </w:tc>
        <w:tc>
          <w:tcPr>
            <w:tcW w:type="dxa" w:w="173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73.875</w:t>
            </w:r>
          </w:p>
        </w:tc>
        <w:tc>
          <w:tcPr>
            <w:tcW w:type="dxa" w:w="173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87.925</w:t>
            </w:r>
          </w:p>
        </w:tc>
      </w:tr>
      <w:tr>
        <w:tc>
          <w:tcPr>
            <w:tcW w:type="dxa" w:w="443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TOTAL CUSTOS OPERACIONAIS</w:t>
            </w:r>
          </w:p>
        </w:tc>
        <w:tc>
          <w:tcPr>
            <w:tcW w:type="dxa" w:w="173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1.363.425</w:t>
            </w:r>
          </w:p>
        </w:tc>
        <w:tc>
          <w:tcPr>
            <w:tcW w:type="dxa" w:w="173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1.551.375</w:t>
            </w:r>
          </w:p>
        </w:tc>
        <w:tc>
          <w:tcPr>
            <w:tcW w:type="dxa" w:w="173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1.846.425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A2342"/>
          <w:sz w:val="32"/>
          <w:szCs w:val="32"/>
        </w:rPr>
        <w:t xml:space="preserve">6. Projeções Financeiras — Cenário Base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A82"/>
          <w:sz w:val="26"/>
          <w:szCs w:val="26"/>
        </w:rPr>
        <w:t xml:space="preserve">6.1 Evolução de Receita (Ano 1 — Trimestral)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 rampa de crescimento no Ano 1 é conservadora, reflectindo o tempo de adoptação típico em mercados de pequena dimensão. O mix de planos projectado aponta para uma predominância do plano Equipa (45%) e Escritório (30%):</w:t>
      </w:r>
    </w:p>
    <w:p>
      <w:pPr>
        <w:spacing w:after="0" w:before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1735"/>
        <w:gridCol w:w="1831"/>
        <w:gridCol w:w="1831"/>
        <w:gridCol w:w="1831"/>
      </w:tblGrid>
      <w:tr>
        <w:trPr>
          <w:tblHeader/>
        </w:trPr>
        <w:tc>
          <w:tcPr>
            <w:tcW w:type="dxa" w:w="2410"/>
            <w:tcBorders>
              <w:top w:val="single" w:color="065A82" w:sz="4"/>
              <w:left w:val="single" w:color="065A82" w:sz="4"/>
              <w:bottom w:val="single" w:color="065A82" w:sz="4"/>
              <w:right w:val="single" w:color="065A82" w:sz="4"/>
            </w:tcBorders>
            <w:shd w:fill="065A8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1735"/>
            <w:tcBorders>
              <w:top w:val="single" w:color="065A82" w:sz="4"/>
              <w:left w:val="single" w:color="065A82" w:sz="4"/>
              <w:bottom w:val="single" w:color="065A82" w:sz="4"/>
              <w:right w:val="single" w:color="065A82" w:sz="4"/>
            </w:tcBorders>
            <w:shd w:fill="065A8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T1 (Ano 1)</w:t>
            </w:r>
          </w:p>
        </w:tc>
        <w:tc>
          <w:tcPr>
            <w:tcW w:type="dxa" w:w="1831"/>
            <w:tcBorders>
              <w:top w:val="single" w:color="065A82" w:sz="4"/>
              <w:left w:val="single" w:color="065A82" w:sz="4"/>
              <w:bottom w:val="single" w:color="065A82" w:sz="4"/>
              <w:right w:val="single" w:color="065A82" w:sz="4"/>
            </w:tcBorders>
            <w:shd w:fill="065A8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T2 (Ano 1)</w:t>
            </w:r>
          </w:p>
        </w:tc>
        <w:tc>
          <w:tcPr>
            <w:tcW w:type="dxa" w:w="1831"/>
            <w:tcBorders>
              <w:top w:val="single" w:color="065A82" w:sz="4"/>
              <w:left w:val="single" w:color="065A82" w:sz="4"/>
              <w:bottom w:val="single" w:color="065A82" w:sz="4"/>
              <w:right w:val="single" w:color="065A82" w:sz="4"/>
            </w:tcBorders>
            <w:shd w:fill="065A8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T3 (Ano 1)</w:t>
            </w:r>
          </w:p>
        </w:tc>
        <w:tc>
          <w:tcPr>
            <w:tcW w:type="dxa" w:w="1831"/>
            <w:tcBorders>
              <w:top w:val="single" w:color="065A82" w:sz="4"/>
              <w:left w:val="single" w:color="065A82" w:sz="4"/>
              <w:bottom w:val="single" w:color="065A82" w:sz="4"/>
              <w:right w:val="single" w:color="065A82" w:sz="4"/>
            </w:tcBorders>
            <w:shd w:fill="065A8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T4 (Ano 1)</w:t>
            </w:r>
          </w:p>
        </w:tc>
      </w:tr>
      <w:tr>
        <w:tc>
          <w:tcPr>
            <w:tcW w:type="dxa" w:w="24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Clientes activos</w:t>
            </w:r>
          </w:p>
        </w:tc>
        <w:tc>
          <w:tcPr>
            <w:tcW w:type="dxa" w:w="173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183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8</w:t>
            </w:r>
          </w:p>
        </w:tc>
        <w:tc>
          <w:tcPr>
            <w:tcW w:type="dxa" w:w="183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14</w:t>
            </w:r>
          </w:p>
        </w:tc>
        <w:tc>
          <w:tcPr>
            <w:tcW w:type="dxa" w:w="183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24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ARPU médio (CVE/mês)</w:t>
            </w:r>
          </w:p>
        </w:tc>
        <w:tc>
          <w:tcPr>
            <w:tcW w:type="dxa" w:w="173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4.500</w:t>
            </w:r>
          </w:p>
        </w:tc>
        <w:tc>
          <w:tcPr>
            <w:tcW w:type="dxa" w:w="183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5.500</w:t>
            </w:r>
          </w:p>
        </w:tc>
        <w:tc>
          <w:tcPr>
            <w:tcW w:type="dxa" w:w="183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7.000</w:t>
            </w:r>
          </w:p>
        </w:tc>
        <w:tc>
          <w:tcPr>
            <w:tcW w:type="dxa" w:w="183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7.500</w:t>
            </w:r>
          </w:p>
        </w:tc>
      </w:tr>
      <w:tr>
        <w:tc>
          <w:tcPr>
            <w:tcW w:type="dxa" w:w="24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MRR (CVE)</w:t>
            </w:r>
          </w:p>
        </w:tc>
        <w:tc>
          <w:tcPr>
            <w:tcW w:type="dxa" w:w="173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13.500</w:t>
            </w:r>
          </w:p>
        </w:tc>
        <w:tc>
          <w:tcPr>
            <w:tcW w:type="dxa" w:w="183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44.000</w:t>
            </w:r>
          </w:p>
        </w:tc>
        <w:tc>
          <w:tcPr>
            <w:tcW w:type="dxa" w:w="183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98.000</w:t>
            </w:r>
          </w:p>
        </w:tc>
        <w:tc>
          <w:tcPr>
            <w:tcW w:type="dxa" w:w="183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150.000</w:t>
            </w:r>
          </w:p>
        </w:tc>
      </w:tr>
      <w:tr>
        <w:tc>
          <w:tcPr>
            <w:tcW w:type="dxa" w:w="24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Receita trimestral (CVE)</w:t>
            </w:r>
          </w:p>
        </w:tc>
        <w:tc>
          <w:tcPr>
            <w:tcW w:type="dxa" w:w="173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40.500</w:t>
            </w:r>
          </w:p>
        </w:tc>
        <w:tc>
          <w:tcPr>
            <w:tcW w:type="dxa" w:w="183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132.000</w:t>
            </w:r>
          </w:p>
        </w:tc>
        <w:tc>
          <w:tcPr>
            <w:tcW w:type="dxa" w:w="183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294.000</w:t>
            </w:r>
          </w:p>
        </w:tc>
        <w:tc>
          <w:tcPr>
            <w:tcW w:type="dxa" w:w="183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450.000</w:t>
            </w:r>
          </w:p>
        </w:tc>
      </w:tr>
      <w:tr>
        <w:tc>
          <w:tcPr>
            <w:tcW w:type="dxa" w:w="241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Receita Acum. Ano 1 (CVE)</w:t>
            </w:r>
          </w:p>
        </w:tc>
        <w:tc>
          <w:tcPr>
            <w:tcW w:type="dxa" w:w="173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/>
            </w:r>
          </w:p>
        </w:tc>
        <w:tc>
          <w:tcPr>
            <w:tcW w:type="dxa" w:w="183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/>
            </w:r>
          </w:p>
        </w:tc>
        <w:tc>
          <w:tcPr>
            <w:tcW w:type="dxa" w:w="183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/>
            </w:r>
          </w:p>
        </w:tc>
        <w:tc>
          <w:tcPr>
            <w:tcW w:type="dxa" w:w="183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916.500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Nota: A receita acumulada do Ano 1 inclui as receitas de onboarding assistido (é estimado 15 clientes no ano × 30.000 CVE médios = 450.000 CVE), totalizando ~1.380.000 CVE.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A82"/>
          <w:sz w:val="26"/>
          <w:szCs w:val="26"/>
        </w:rPr>
        <w:t xml:space="preserve">6.2 Projeções de Rentabilidade (3 Anos)</w:t>
      </w:r>
    </w:p>
    <w:p>
      <w:pPr>
        <w:spacing w:after="0" w:before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1928"/>
        <w:gridCol w:w="1928"/>
        <w:gridCol w:w="1928"/>
      </w:tblGrid>
      <w:tr>
        <w:trPr>
          <w:tblHeader/>
        </w:trPr>
        <w:tc>
          <w:tcPr>
            <w:tcW w:type="dxa" w:w="3855"/>
            <w:tcBorders>
              <w:top w:val="single" w:color="065A82" w:sz="4"/>
              <w:left w:val="single" w:color="065A82" w:sz="4"/>
              <w:bottom w:val="single" w:color="065A82" w:sz="4"/>
              <w:right w:val="single" w:color="065A82" w:sz="4"/>
            </w:tcBorders>
            <w:shd w:fill="065A8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Rubrica</w:t>
            </w:r>
          </w:p>
        </w:tc>
        <w:tc>
          <w:tcPr>
            <w:tcW w:type="dxa" w:w="1928"/>
            <w:tcBorders>
              <w:top w:val="single" w:color="065A82" w:sz="4"/>
              <w:left w:val="single" w:color="065A82" w:sz="4"/>
              <w:bottom w:val="single" w:color="065A82" w:sz="4"/>
              <w:right w:val="single" w:color="065A82" w:sz="4"/>
            </w:tcBorders>
            <w:shd w:fill="065A8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Ano 1 (CVE)</w:t>
            </w:r>
          </w:p>
        </w:tc>
        <w:tc>
          <w:tcPr>
            <w:tcW w:type="dxa" w:w="1928"/>
            <w:tcBorders>
              <w:top w:val="single" w:color="065A82" w:sz="4"/>
              <w:left w:val="single" w:color="065A82" w:sz="4"/>
              <w:bottom w:val="single" w:color="065A82" w:sz="4"/>
              <w:right w:val="single" w:color="065A82" w:sz="4"/>
            </w:tcBorders>
            <w:shd w:fill="065A8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Ano 2 (CVE)</w:t>
            </w:r>
          </w:p>
        </w:tc>
        <w:tc>
          <w:tcPr>
            <w:tcW w:type="dxa" w:w="1928"/>
            <w:tcBorders>
              <w:top w:val="single" w:color="065A82" w:sz="4"/>
              <w:left w:val="single" w:color="065A82" w:sz="4"/>
              <w:bottom w:val="single" w:color="065A82" w:sz="4"/>
              <w:right w:val="single" w:color="065A82" w:sz="4"/>
            </w:tcBorders>
            <w:shd w:fill="065A8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Ano 3 (CVE)</w:t>
            </w:r>
          </w:p>
        </w:tc>
      </w:tr>
      <w:tr>
        <w:tc>
          <w:tcPr>
            <w:tcW w:type="dxa" w:w="385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Receita subscrições</w:t>
            </w:r>
          </w:p>
        </w:tc>
        <w:tc>
          <w:tcPr>
            <w:tcW w:type="dxa" w:w="192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930.000</w:t>
            </w:r>
          </w:p>
        </w:tc>
        <w:tc>
          <w:tcPr>
            <w:tcW w:type="dxa" w:w="192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2.736.000</w:t>
            </w:r>
          </w:p>
        </w:tc>
        <w:tc>
          <w:tcPr>
            <w:tcW w:type="dxa" w:w="192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4.860.000</w:t>
            </w:r>
          </w:p>
        </w:tc>
      </w:tr>
      <w:tr>
        <w:tc>
          <w:tcPr>
            <w:tcW w:type="dxa" w:w="385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Receita onboarding e formação</w:t>
            </w:r>
          </w:p>
        </w:tc>
        <w:tc>
          <w:tcPr>
            <w:tcW w:type="dxa" w:w="192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450.000</w:t>
            </w:r>
          </w:p>
        </w:tc>
        <w:tc>
          <w:tcPr>
            <w:tcW w:type="dxa" w:w="192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464.000</w:t>
            </w:r>
          </w:p>
        </w:tc>
        <w:tc>
          <w:tcPr>
            <w:tcW w:type="dxa" w:w="192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540.000</w:t>
            </w:r>
          </w:p>
        </w:tc>
      </w:tr>
      <w:tr>
        <w:tc>
          <w:tcPr>
            <w:tcW w:type="dxa" w:w="385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RECEITA TOTAL</w:t>
            </w:r>
          </w:p>
        </w:tc>
        <w:tc>
          <w:tcPr>
            <w:tcW w:type="dxa" w:w="192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1.380.000</w:t>
            </w:r>
          </w:p>
        </w:tc>
        <w:tc>
          <w:tcPr>
            <w:tcW w:type="dxa" w:w="192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3.200.000</w:t>
            </w:r>
          </w:p>
        </w:tc>
        <w:tc>
          <w:tcPr>
            <w:tcW w:type="dxa" w:w="192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5.400.000</w:t>
            </w:r>
          </w:p>
        </w:tc>
      </w:tr>
      <w:tr>
        <w:tc>
          <w:tcPr>
            <w:tcW w:type="dxa" w:w="385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Custos operacionais</w:t>
            </w:r>
          </w:p>
        </w:tc>
        <w:tc>
          <w:tcPr>
            <w:tcW w:type="dxa" w:w="192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(1.363.425)</w:t>
            </w:r>
          </w:p>
        </w:tc>
        <w:tc>
          <w:tcPr>
            <w:tcW w:type="dxa" w:w="192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(1.551.375)</w:t>
            </w:r>
          </w:p>
        </w:tc>
        <w:tc>
          <w:tcPr>
            <w:tcW w:type="dxa" w:w="192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(1.846.425)</w:t>
            </w:r>
          </w:p>
        </w:tc>
      </w:tr>
      <w:tr>
        <w:tc>
          <w:tcPr>
            <w:tcW w:type="dxa" w:w="385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EBITDA</w:t>
            </w:r>
          </w:p>
        </w:tc>
        <w:tc>
          <w:tcPr>
            <w:tcW w:type="dxa" w:w="192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16.575</w:t>
            </w:r>
          </w:p>
        </w:tc>
        <w:tc>
          <w:tcPr>
            <w:tcW w:type="dxa" w:w="192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1.648.625</w:t>
            </w:r>
          </w:p>
        </w:tc>
        <w:tc>
          <w:tcPr>
            <w:tcW w:type="dxa" w:w="192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3.553.575</w:t>
            </w:r>
          </w:p>
        </w:tc>
      </w:tr>
      <w:tr>
        <w:tc>
          <w:tcPr>
            <w:tcW w:type="dxa" w:w="385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Margem EBITDA</w:t>
            </w:r>
          </w:p>
        </w:tc>
        <w:tc>
          <w:tcPr>
            <w:tcW w:type="dxa" w:w="192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1,2%</w:t>
            </w:r>
          </w:p>
        </w:tc>
        <w:tc>
          <w:tcPr>
            <w:tcW w:type="dxa" w:w="192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51,5%</w:t>
            </w:r>
          </w:p>
        </w:tc>
        <w:tc>
          <w:tcPr>
            <w:tcW w:type="dxa" w:w="192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65,8%</w:t>
            </w:r>
          </w:p>
        </w:tc>
      </w:tr>
      <w:tr>
        <w:tc>
          <w:tcPr>
            <w:tcW w:type="dxa" w:w="385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EBITDA em EUR (aprox.)</w:t>
            </w:r>
          </w:p>
        </w:tc>
        <w:tc>
          <w:tcPr>
            <w:tcW w:type="dxa" w:w="192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~150 €</w:t>
            </w:r>
          </w:p>
        </w:tc>
        <w:tc>
          <w:tcPr>
            <w:tcW w:type="dxa" w:w="192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~14.950 €</w:t>
            </w:r>
          </w:p>
        </w:tc>
        <w:tc>
          <w:tcPr>
            <w:tcW w:type="dxa" w:w="192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~32.230 €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A2342"/>
          <w:sz w:val="32"/>
          <w:szCs w:val="32"/>
        </w:rPr>
        <w:t xml:space="preserve">7. Análise de Break-Even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Com custos fixos mensais de aproximadamente 113.619 CVE e um ARPU médio de 7.000 CVE/mês, o ponto de equilíbrio é atingido com:</w:t>
      </w:r>
    </w:p>
    <w:p>
      <w:pPr>
        <w:spacing w:after="0" w:before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01"/>
        <w:gridCol w:w="4337"/>
      </w:tblGrid>
      <w:tr>
        <w:trPr>
          <w:tblHeader/>
        </w:trPr>
        <w:tc>
          <w:tcPr>
            <w:tcW w:type="dxa" w:w="5301"/>
            <w:tcBorders>
              <w:top w:val="single" w:color="065A82" w:sz="4"/>
              <w:left w:val="single" w:color="065A82" w:sz="4"/>
              <w:bottom w:val="single" w:color="065A82" w:sz="4"/>
              <w:right w:val="single" w:color="065A82" w:sz="4"/>
            </w:tcBorders>
            <w:shd w:fill="065A8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Parâmetro</w:t>
            </w:r>
          </w:p>
        </w:tc>
        <w:tc>
          <w:tcPr>
            <w:tcW w:type="dxa" w:w="4337"/>
            <w:tcBorders>
              <w:top w:val="single" w:color="065A82" w:sz="4"/>
              <w:left w:val="single" w:color="065A82" w:sz="4"/>
              <w:bottom w:val="single" w:color="065A82" w:sz="4"/>
              <w:right w:val="single" w:color="065A82" w:sz="4"/>
            </w:tcBorders>
            <w:shd w:fill="065A8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53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Custos fixos mensais (média Ano 1)</w:t>
            </w:r>
          </w:p>
        </w:tc>
        <w:tc>
          <w:tcPr>
            <w:tcW w:type="dxa" w:w="433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113.619 CVE</w:t>
            </w:r>
          </w:p>
        </w:tc>
      </w:tr>
      <w:tr>
        <w:tc>
          <w:tcPr>
            <w:tcW w:type="dxa" w:w="53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ARPU médio projectado (Ano 1)</w:t>
            </w:r>
          </w:p>
        </w:tc>
        <w:tc>
          <w:tcPr>
            <w:tcW w:type="dxa" w:w="433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7.000 CVE/mês</w:t>
            </w:r>
          </w:p>
        </w:tc>
      </w:tr>
      <w:tr>
        <w:tc>
          <w:tcPr>
            <w:tcW w:type="dxa" w:w="530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Número de clientes para break-even</w:t>
            </w:r>
          </w:p>
        </w:tc>
        <w:tc>
          <w:tcPr>
            <w:tcW w:type="dxa" w:w="43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~17 clientes</w:t>
            </w:r>
          </w:p>
        </w:tc>
      </w:tr>
      <w:tr>
        <w:tc>
          <w:tcPr>
            <w:tcW w:type="dxa" w:w="53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Mês previsto (cenário base)</w:t>
            </w:r>
          </w:p>
        </w:tc>
        <w:tc>
          <w:tcPr>
            <w:tcW w:type="dxa" w:w="433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Mês 9 do Ano 1</w:t>
            </w:r>
          </w:p>
        </w:tc>
      </w:tr>
      <w:tr>
        <w:tc>
          <w:tcPr>
            <w:tcW w:type="dxa" w:w="53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Break-even em receita mensal</w:t>
            </w:r>
          </w:p>
        </w:tc>
        <w:tc>
          <w:tcPr>
            <w:tcW w:type="dxa" w:w="433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~119.000 CVE/mês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O número de clientes para break-even (17) representa apenas 22,7% do SAM (75 escritórios alcançáveis), confirmando a viabilidade do modelo.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A2342"/>
          <w:sz w:val="32"/>
          <w:szCs w:val="32"/>
        </w:rPr>
        <w:t xml:space="preserve">8. Métricas SaaS — Alvos</w:t>
      </w:r>
    </w:p>
    <w:p>
      <w:pPr>
        <w:spacing w:after="0" w:before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2891"/>
        <w:gridCol w:w="4048"/>
      </w:tblGrid>
      <w:tr>
        <w:trPr>
          <w:tblHeader/>
        </w:trPr>
        <w:tc>
          <w:tcPr>
            <w:tcW w:type="dxa" w:w="2699"/>
            <w:tcBorders>
              <w:top w:val="single" w:color="065A82" w:sz="4"/>
              <w:left w:val="single" w:color="065A82" w:sz="4"/>
              <w:bottom w:val="single" w:color="065A82" w:sz="4"/>
              <w:right w:val="single" w:color="065A82" w:sz="4"/>
            </w:tcBorders>
            <w:shd w:fill="065A8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2891"/>
            <w:tcBorders>
              <w:top w:val="single" w:color="065A82" w:sz="4"/>
              <w:left w:val="single" w:color="065A82" w:sz="4"/>
              <w:bottom w:val="single" w:color="065A82" w:sz="4"/>
              <w:right w:val="single" w:color="065A82" w:sz="4"/>
            </w:tcBorders>
            <w:shd w:fill="065A8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Alvo</w:t>
            </w:r>
          </w:p>
        </w:tc>
        <w:tc>
          <w:tcPr>
            <w:tcW w:type="dxa" w:w="4048"/>
            <w:tcBorders>
              <w:top w:val="single" w:color="065A82" w:sz="4"/>
              <w:left w:val="single" w:color="065A82" w:sz="4"/>
              <w:bottom w:val="single" w:color="065A82" w:sz="4"/>
              <w:right w:val="single" w:color="065A82" w:sz="4"/>
            </w:tcBorders>
            <w:shd w:fill="065A8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Interpretação</w:t>
            </w:r>
          </w:p>
        </w:tc>
      </w:tr>
      <w:tr>
        <w:tc>
          <w:tcPr>
            <w:tcW w:type="dxa" w:w="269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MRR (fim Ano 1)</w:t>
            </w:r>
          </w:p>
        </w:tc>
        <w:tc>
          <w:tcPr>
            <w:tcW w:type="dxa" w:w="289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150.000 CVE/mês</w:t>
            </w:r>
          </w:p>
        </w:tc>
        <w:tc>
          <w:tcPr>
            <w:tcW w:type="dxa" w:w="40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 clientes × ARPU médio</w:t>
            </w:r>
          </w:p>
        </w:tc>
      </w:tr>
      <w:tr>
        <w:tc>
          <w:tcPr>
            <w:tcW w:type="dxa" w:w="269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ARR (fim Ano 1)</w:t>
            </w:r>
          </w:p>
        </w:tc>
        <w:tc>
          <w:tcPr>
            <w:tcW w:type="dxa" w:w="289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1.800.000 CVE/ano</w:t>
            </w:r>
          </w:p>
        </w:tc>
        <w:tc>
          <w:tcPr>
            <w:tcW w:type="dxa" w:w="40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MRR × 12</w:t>
            </w:r>
          </w:p>
        </w:tc>
      </w:tr>
      <w:tr>
        <w:tc>
          <w:tcPr>
            <w:tcW w:type="dxa" w:w="269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Churn mensal (alvo)</w:t>
            </w:r>
          </w:p>
        </w:tc>
        <w:tc>
          <w:tcPr>
            <w:tcW w:type="dxa" w:w="289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&lt;3%</w:t>
            </w:r>
          </w:p>
        </w:tc>
        <w:tc>
          <w:tcPr>
            <w:tcW w:type="dxa" w:w="40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Mercado pequeno exige retenção alta</w:t>
            </w:r>
          </w:p>
        </w:tc>
      </w:tr>
      <w:tr>
        <w:tc>
          <w:tcPr>
            <w:tcW w:type="dxa" w:w="269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CAC (custo aquisição)</w:t>
            </w:r>
          </w:p>
        </w:tc>
        <w:tc>
          <w:tcPr>
            <w:tcW w:type="dxa" w:w="289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~55.000 CVE</w:t>
            </w:r>
          </w:p>
        </w:tc>
        <w:tc>
          <w:tcPr>
            <w:tcW w:type="dxa" w:w="40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Marketing anual ÷ novos clientes</w:t>
            </w:r>
          </w:p>
        </w:tc>
      </w:tr>
      <w:tr>
        <w:tc>
          <w:tcPr>
            <w:tcW w:type="dxa" w:w="269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LTV (valor vitalicio)</w:t>
            </w:r>
          </w:p>
        </w:tc>
        <w:tc>
          <w:tcPr>
            <w:tcW w:type="dxa" w:w="289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~233.000 CVE</w:t>
            </w:r>
          </w:p>
        </w:tc>
        <w:tc>
          <w:tcPr>
            <w:tcW w:type="dxa" w:w="40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ARPU ÷ churn = 7.000 ÷ 0,03</w:t>
            </w:r>
          </w:p>
        </w:tc>
      </w:tr>
      <w:tr>
        <w:tc>
          <w:tcPr>
            <w:tcW w:type="dxa" w:w="269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Rácio LTV/CAC</w:t>
            </w:r>
          </w:p>
        </w:tc>
        <w:tc>
          <w:tcPr>
            <w:tcW w:type="dxa" w:w="289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~4,2×</w:t>
            </w:r>
          </w:p>
        </w:tc>
        <w:tc>
          <w:tcPr>
            <w:tcW w:type="dxa" w:w="404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Saudável: deve ser &gt;3×</w:t>
            </w:r>
          </w:p>
        </w:tc>
      </w:tr>
      <w:tr>
        <w:tc>
          <w:tcPr>
            <w:tcW w:type="dxa" w:w="269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Payback do CAC</w:t>
            </w:r>
          </w:p>
        </w:tc>
        <w:tc>
          <w:tcPr>
            <w:tcW w:type="dxa" w:w="289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~8 meses</w:t>
            </w:r>
          </w:p>
        </w:tc>
        <w:tc>
          <w:tcPr>
            <w:tcW w:type="dxa" w:w="40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CAC ÷ ARPU = 55.000 ÷ 7.000</w:t>
            </w:r>
          </w:p>
        </w:tc>
      </w:tr>
      <w:tr>
        <w:tc>
          <w:tcPr>
            <w:tcW w:type="dxa" w:w="269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NPS alvo (retenção)</w:t>
            </w:r>
          </w:p>
        </w:tc>
        <w:tc>
          <w:tcPr>
            <w:tcW w:type="dxa" w:w="289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&gt;50</w:t>
            </w:r>
          </w:p>
        </w:tc>
        <w:tc>
          <w:tcPr>
            <w:tcW w:type="dxa" w:w="40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Indicador de satisfação e referência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A2342"/>
          <w:sz w:val="32"/>
          <w:szCs w:val="32"/>
        </w:rPr>
        <w:t xml:space="preserve">9. Cenários de Desempenho (3 Anos)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Três cenários foram modelados para reflectir a incerteza de um mercado emergente. Os pressupostos diferenciadores são a velocidade de adoptação, o nível de apoio institucional da OACV e a resistência à mudança.</w:t>
      </w:r>
    </w:p>
    <w:p>
      <w:pPr>
        <w:spacing w:after="0" w:before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2217"/>
        <w:gridCol w:w="2217"/>
        <w:gridCol w:w="2313"/>
      </w:tblGrid>
      <w:tr>
        <w:tc>
          <w:tcPr>
            <w:tcW w:type="dxa" w:w="2891"/>
            <w:tcBorders>
              <w:top w:val="single" w:color="0A2342" w:sz="4"/>
              <w:left w:val="single" w:color="0A2342" w:sz="4"/>
              <w:bottom w:val="single" w:color="0A2342" w:sz="4"/>
              <w:right w:val="single" w:color="0A2342" w:sz="4"/>
            </w:tcBorders>
            <w:shd w:fill="0A234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2217"/>
            <w:tcBorders>
              <w:top w:val="single" w:color="991B1B" w:sz="4"/>
              <w:left w:val="single" w:color="991B1B" w:sz="4"/>
              <w:bottom w:val="single" w:color="991B1B" w:sz="4"/>
              <w:right w:val="single" w:color="991B1B" w:sz="4"/>
            </w:tcBorders>
            <w:shd w:fill="991B1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Pessimista</w:t>
            </w:r>
          </w:p>
        </w:tc>
        <w:tc>
          <w:tcPr>
            <w:tcW w:type="dxa" w:w="2217"/>
            <w:tcBorders>
              <w:top w:val="single" w:color="065A82" w:sz="4"/>
              <w:left w:val="single" w:color="065A82" w:sz="4"/>
              <w:bottom w:val="single" w:color="065A82" w:sz="4"/>
              <w:right w:val="single" w:color="065A82" w:sz="4"/>
            </w:tcBorders>
            <w:shd w:fill="065A8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</w:t>
            </w:r>
          </w:p>
        </w:tc>
        <w:tc>
          <w:tcPr>
            <w:tcW w:type="dxa" w:w="2313"/>
            <w:tcBorders>
              <w:top w:val="single" w:color="166534" w:sz="4"/>
              <w:left w:val="single" w:color="166534" w:sz="4"/>
              <w:bottom w:val="single" w:color="166534" w:sz="4"/>
              <w:right w:val="single" w:color="166534" w:sz="4"/>
            </w:tcBorders>
            <w:shd w:fill="16653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Otimista</w:t>
            </w:r>
          </w:p>
        </w:tc>
      </w:tr>
      <w:tr>
        <w:tc>
          <w:tcPr>
            <w:tcW w:type="dxa" w:w="289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Clientes (fim Ano 1 / 2 / 3)</w:t>
            </w:r>
          </w:p>
        </w:tc>
        <w:tc>
          <w:tcPr>
            <w:tcW w:type="dxa" w:w="221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 / 18 / 28</w:t>
            </w:r>
          </w:p>
        </w:tc>
        <w:tc>
          <w:tcPr>
            <w:tcW w:type="dxa" w:w="221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 / 38 / 60</w:t>
            </w:r>
          </w:p>
        </w:tc>
        <w:tc>
          <w:tcPr>
            <w:tcW w:type="dxa" w:w="23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28 / 55 / 90*</w:t>
            </w:r>
          </w:p>
        </w:tc>
      </w:tr>
      <w:tr>
        <w:tc>
          <w:tcPr>
            <w:tcW w:type="dxa" w:w="289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Receita Ano 1 (CVE)</w:t>
            </w:r>
          </w:p>
        </w:tc>
        <w:tc>
          <w:tcPr>
            <w:tcW w:type="dxa" w:w="221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660.000</w:t>
            </w:r>
          </w:p>
        </w:tc>
        <w:tc>
          <w:tcPr>
            <w:tcW w:type="dxa" w:w="221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1.380.000</w:t>
            </w:r>
          </w:p>
        </w:tc>
        <w:tc>
          <w:tcPr>
            <w:tcW w:type="dxa" w:w="23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2.100.000</w:t>
            </w:r>
          </w:p>
        </w:tc>
      </w:tr>
      <w:tr>
        <w:tc>
          <w:tcPr>
            <w:tcW w:type="dxa" w:w="289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Receita Ano 3 (CVE)</w:t>
            </w:r>
          </w:p>
        </w:tc>
        <w:tc>
          <w:tcPr>
            <w:tcW w:type="dxa" w:w="221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2.352.000</w:t>
            </w:r>
          </w:p>
        </w:tc>
        <w:tc>
          <w:tcPr>
            <w:tcW w:type="dxa" w:w="221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5.400.000</w:t>
            </w:r>
          </w:p>
        </w:tc>
        <w:tc>
          <w:tcPr>
            <w:tcW w:type="dxa" w:w="23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9.180.000</w:t>
            </w:r>
          </w:p>
        </w:tc>
      </w:tr>
      <w:tr>
        <w:tc>
          <w:tcPr>
            <w:tcW w:type="dxa" w:w="289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EBITDA Ano 3 (CVE)</w:t>
            </w:r>
          </w:p>
        </w:tc>
        <w:tc>
          <w:tcPr>
            <w:tcW w:type="dxa" w:w="221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505.575</w:t>
            </w:r>
          </w:p>
        </w:tc>
        <w:tc>
          <w:tcPr>
            <w:tcW w:type="dxa" w:w="221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3.553.575</w:t>
            </w:r>
          </w:p>
        </w:tc>
        <w:tc>
          <w:tcPr>
            <w:tcW w:type="dxa" w:w="23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7.333.575</w:t>
            </w:r>
          </w:p>
        </w:tc>
      </w:tr>
      <w:tr>
        <w:tc>
          <w:tcPr>
            <w:tcW w:type="dxa" w:w="289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Break-even (mês aprox.)</w:t>
            </w:r>
          </w:p>
        </w:tc>
        <w:tc>
          <w:tcPr>
            <w:tcW w:type="dxa" w:w="221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Mês 18 (Ano 2)</w:t>
            </w:r>
          </w:p>
        </w:tc>
        <w:tc>
          <w:tcPr>
            <w:tcW w:type="dxa" w:w="221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Mês 9 (Ano 1)</w:t>
            </w:r>
          </w:p>
        </w:tc>
        <w:tc>
          <w:tcPr>
            <w:tcW w:type="dxa" w:w="23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Mês 6 (Ano 1)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1E293B"/>
          <w:sz w:val="22"/>
          <w:szCs w:val="22"/>
        </w:rPr>
        <w:t xml:space="preserve">* Cenário Otimista inclui expansão para São Tomé e Príncipe e Guiné-Bissau (PALOP lusófonos com sistema jurídico semelhante) a partir do Ano 2.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A2342"/>
          <w:sz w:val="32"/>
          <w:szCs w:val="32"/>
        </w:rPr>
        <w:t xml:space="preserve">10. Riscos e Mitigações</w:t>
      </w:r>
    </w:p>
    <w:p>
      <w:pPr>
        <w:spacing w:after="0" w:before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964"/>
        <w:gridCol w:w="964"/>
        <w:gridCol w:w="4819"/>
      </w:tblGrid>
      <w:tr>
        <w:trPr>
          <w:tblHeader/>
        </w:trPr>
        <w:tc>
          <w:tcPr>
            <w:tcW w:type="dxa" w:w="2891"/>
            <w:tcBorders>
              <w:top w:val="single" w:color="065A82" w:sz="4"/>
              <w:left w:val="single" w:color="065A82" w:sz="4"/>
              <w:bottom w:val="single" w:color="065A82" w:sz="4"/>
              <w:right w:val="single" w:color="065A82" w:sz="4"/>
            </w:tcBorders>
            <w:shd w:fill="065A8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Risco</w:t>
            </w:r>
          </w:p>
        </w:tc>
        <w:tc>
          <w:tcPr>
            <w:tcW w:type="dxa" w:w="964"/>
            <w:tcBorders>
              <w:top w:val="single" w:color="065A82" w:sz="4"/>
              <w:left w:val="single" w:color="065A82" w:sz="4"/>
              <w:bottom w:val="single" w:color="065A82" w:sz="4"/>
              <w:right w:val="single" w:color="065A82" w:sz="4"/>
            </w:tcBorders>
            <w:shd w:fill="065A8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Prob.</w:t>
            </w:r>
          </w:p>
        </w:tc>
        <w:tc>
          <w:tcPr>
            <w:tcW w:type="dxa" w:w="964"/>
            <w:tcBorders>
              <w:top w:val="single" w:color="065A82" w:sz="4"/>
              <w:left w:val="single" w:color="065A82" w:sz="4"/>
              <w:bottom w:val="single" w:color="065A82" w:sz="4"/>
              <w:right w:val="single" w:color="065A82" w:sz="4"/>
            </w:tcBorders>
            <w:shd w:fill="065A8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4819"/>
            <w:tcBorders>
              <w:top w:val="single" w:color="065A82" w:sz="4"/>
              <w:left w:val="single" w:color="065A82" w:sz="4"/>
              <w:bottom w:val="single" w:color="065A82" w:sz="4"/>
              <w:right w:val="single" w:color="065A82" w:sz="4"/>
            </w:tcBorders>
            <w:shd w:fill="065A8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Mitigação</w:t>
            </w:r>
          </w:p>
        </w:tc>
      </w:tr>
      <w:tr>
        <w:tc>
          <w:tcPr>
            <w:tcW w:type="dxa" w:w="289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Resistência à digitalização (práticas tradicionais)</w:t>
            </w:r>
          </w:p>
        </w:tc>
        <w:tc>
          <w:tcPr>
            <w:tcW w:type="dxa" w:w="9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Alta</w:t>
            </w:r>
          </w:p>
        </w:tc>
        <w:tc>
          <w:tcPr>
            <w:tcW w:type="dxa" w:w="9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Alto</w:t>
            </w:r>
          </w:p>
        </w:tc>
        <w:tc>
          <w:tcPr>
            <w:tcW w:type="dxa" w:w="48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Trial 30 dias gratuito; onboarding assistido; demos presenciais nas ilhas</w:t>
            </w:r>
          </w:p>
        </w:tc>
      </w:tr>
      <w:tr>
        <w:tc>
          <w:tcPr>
            <w:tcW w:type="dxa" w:w="289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Mercado de pequena dimensão (crescimento limitado)</w:t>
            </w:r>
          </w:p>
        </w:tc>
        <w:tc>
          <w:tcPr>
            <w:tcW w:type="dxa" w:w="9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Alta</w:t>
            </w:r>
          </w:p>
        </w:tc>
        <w:tc>
          <w:tcPr>
            <w:tcW w:type="dxa" w:w="9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Médio</w:t>
            </w:r>
          </w:p>
        </w:tc>
        <w:tc>
          <w:tcPr>
            <w:tcW w:type="dxa" w:w="48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Expansão PALOP (Fase 3); parcerias com departamentos jurídicos de empresas</w:t>
            </w:r>
          </w:p>
        </w:tc>
      </w:tr>
      <w:tr>
        <w:tc>
          <w:tcPr>
            <w:tcW w:type="dxa" w:w="289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Conectividade internet instável nas ilhas</w:t>
            </w:r>
          </w:p>
        </w:tc>
        <w:tc>
          <w:tcPr>
            <w:tcW w:type="dxa" w:w="9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Média</w:t>
            </w:r>
          </w:p>
        </w:tc>
        <w:tc>
          <w:tcPr>
            <w:tcW w:type="dxa" w:w="9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Médio</w:t>
            </w:r>
          </w:p>
        </w:tc>
        <w:tc>
          <w:tcPr>
            <w:tcW w:type="dxa" w:w="48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Modo offline parcial; sincronização assíncrona (roadmap Fase 2)</w:t>
            </w:r>
          </w:p>
        </w:tc>
      </w:tr>
      <w:tr>
        <w:tc>
          <w:tcPr>
            <w:tcW w:type="dxa" w:w="289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Entrada de concorrente internacional (e.g., BR/PT)</w:t>
            </w:r>
          </w:p>
        </w:tc>
        <w:tc>
          <w:tcPr>
            <w:tcW w:type="dxa" w:w="9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Baixa</w:t>
            </w:r>
          </w:p>
        </w:tc>
        <w:tc>
          <w:tcPr>
            <w:tcW w:type="dxa" w:w="9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Alto</w:t>
            </w:r>
          </w:p>
        </w:tc>
        <w:tc>
          <w:tcPr>
            <w:tcW w:type="dxa" w:w="48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Preços locais, suporte nativo CV, e relacionamento com OACV como vantagem competitiva</w:t>
            </w:r>
          </w:p>
        </w:tc>
      </w:tr>
      <w:tr>
        <w:tc>
          <w:tcPr>
            <w:tcW w:type="dxa" w:w="289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Churn elevado por falta de suporte pós-venda</w:t>
            </w:r>
          </w:p>
        </w:tc>
        <w:tc>
          <w:tcPr>
            <w:tcW w:type="dxa" w:w="9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Média</w:t>
            </w:r>
          </w:p>
        </w:tc>
        <w:tc>
          <w:tcPr>
            <w:tcW w:type="dxa" w:w="9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Alto</w:t>
            </w:r>
          </w:p>
        </w:tc>
        <w:tc>
          <w:tcPr>
            <w:tcW w:type="dxa" w:w="48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SLA de resposta &lt;4h; canal WhatsApp; portal de suporte; formação de utilizadores</w:t>
            </w:r>
          </w:p>
        </w:tc>
      </w:tr>
      <w:tr>
        <w:tc>
          <w:tcPr>
            <w:tcW w:type="dxa" w:w="289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Dificuldade de cobrança / atrasos no pagamento</w:t>
            </w:r>
          </w:p>
        </w:tc>
        <w:tc>
          <w:tcPr>
            <w:tcW w:type="dxa" w:w="9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Média</w:t>
            </w:r>
          </w:p>
        </w:tc>
        <w:tc>
          <w:tcPr>
            <w:tcW w:type="dxa" w:w="9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Médio</w:t>
            </w:r>
          </w:p>
        </w:tc>
        <w:tc>
          <w:tcPr>
            <w:tcW w:type="dxa" w:w="48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Pagamento por transferência ou mbway-CV antecipado; desconto de 15% para anual</w:t>
            </w:r>
          </w:p>
        </w:tc>
      </w:tr>
      <w:tr>
        <w:tc>
          <w:tcPr>
            <w:tcW w:type="dxa" w:w="289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Mudanças legais no sistema jurídico CV</w:t>
            </w:r>
          </w:p>
        </w:tc>
        <w:tc>
          <w:tcPr>
            <w:tcW w:type="dxa" w:w="9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Baixa</w:t>
            </w:r>
          </w:p>
        </w:tc>
        <w:tc>
          <w:tcPr>
            <w:tcW w:type="dxa" w:w="9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Médio</w:t>
            </w:r>
          </w:p>
        </w:tc>
        <w:tc>
          <w:tcPr>
            <w:tcW w:type="dxa" w:w="48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Monitorização da Assembleia Nacional; equipa jurídica advisory (parceria OACV)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A2342"/>
          <w:sz w:val="32"/>
          <w:szCs w:val="32"/>
        </w:rPr>
        <w:t xml:space="preserve">11. Estratégia de Go-to-Market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A82"/>
          <w:sz w:val="26"/>
          <w:szCs w:val="26"/>
        </w:rPr>
        <w:t xml:space="preserve">Fase 1 (Meses 1–6) — Praia e Mindelo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Parcerias com a OACV para presença em formações e conferências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Programa de beta-testing com 3–5 escritórios piloto (desconto 50% por 6 meses)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Demonstrações presenciais nos escritórios — abordagem consultiva, não transaccional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Página de destino com trial gratuito e depoimentos dos pilotos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A82"/>
          <w:sz w:val="26"/>
          <w:szCs w:val="26"/>
        </w:rPr>
        <w:t xml:space="preserve">Fase 2 (Meses 7–18) — Crescimento e Retenção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Programa de referência: cliente activo que indica novo cliente recebe 1 mês gratuito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Presença nas ilhas do Sal e Boa Vista (advogarça do turismo e imobiliário)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Newsletter mensal com conteúdo jurídico caboverdiano (SEO + autoridade)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Webinars mensais de formação para utilizadores activos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A82"/>
          <w:sz w:val="26"/>
          <w:szCs w:val="26"/>
        </w:rPr>
        <w:t xml:space="preserve">Fase 3 (Ano 3+) — Expansão PALOP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Adaptação para São Tomé e Príncipe (sistema jurídico lusófono semelhante)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Parceria com firmas de direito em Guiné-Bissau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API pública para integração com sistemas tributários e judiciais locais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A2342"/>
          <w:sz w:val="32"/>
          <w:szCs w:val="32"/>
        </w:rPr>
        <w:t xml:space="preserve">12. Conclusão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O LexCV apresenta um caso de negócio sólido para o mercado caboverdiano. Os factores diferenciadores — primeiro mover, adaptação cultural e linguística, preços calibrados ao poder de compra local, e plataforma já desenvolvida — criam uma janela de oportunidade única.</w:t>
      </w:r>
    </w:p>
    <w:p>
      <w:pPr>
        <w:spacing w:after="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Com um investimento inicial modesto de ~890.750 CVE (~8.080 EUR), o modelo atinge o break-even antes do final do Ano 1 (cenário base) e gera margens EBITDA superiores a 60% no Ano 3. A razão LTV/CAC de 4,2× confirma a sustentabilidade económica do modelo de aquisição.</w:t>
      </w:r>
    </w:p>
    <w:p>
      <w:pPr>
        <w:spacing w:after="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 expansão para os PALOP no Ano 3 abre um mercado adicional significativo sem requerer redesenvolvimento — apenas adaptação de conteúdo e parcerias locais.</w:t>
      </w:r>
    </w:p>
    <w:p>
      <w:pPr>
        <w:spacing w:after="0" w:before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065A82" w:sz="4"/>
              <w:left w:val="single" w:color="065A82" w:sz="4"/>
              <w:bottom w:val="single" w:color="065A82" w:sz="4"/>
              <w:right w:val="single" w:color="065A82" w:sz="4"/>
            </w:tcBorders>
            <w:shd w:fill="065A8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Pontos Fortes</w:t>
            </w:r>
          </w:p>
        </w:tc>
        <w:tc>
          <w:tcPr>
            <w:tcW w:type="dxa" w:w="4819"/>
            <w:tcBorders>
              <w:top w:val="single" w:color="065A82" w:sz="4"/>
              <w:left w:val="single" w:color="065A82" w:sz="4"/>
              <w:bottom w:val="single" w:color="065A82" w:sz="4"/>
              <w:right w:val="single" w:color="065A82" w:sz="4"/>
            </w:tcBorders>
            <w:shd w:fill="065A8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Atenções</w:t>
            </w:r>
          </w:p>
        </w:tc>
      </w:tr>
      <w:tr>
        <w:tc>
          <w:tcPr>
            <w:tcW w:type="dxa" w:w="48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D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Produto já construído e funcional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Primeiro mover no mercado CV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Investimento inicial reduzido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CVE ancorado ao EUR (estabilidade)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Margens SaaS elevadas a longo prazo</w:t>
            </w:r>
          </w:p>
        </w:tc>
        <w:tc>
          <w:tcPr>
            <w:tcW w:type="dxa" w:w="48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C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Mercado de dimensão reduzida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Cultura de digitalização ainda em maturação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Cobrança e pagamentos digitais em desenvolvimento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Necessidade de presença física nas ilhas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Bdr>
          <w:top w:val="single" w:color="065A82" w:sz="4" w:space="8"/>
        </w:pBdr>
        <w:spacing w:after="0" w:before="20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Documento confidencial preparado para uso interno — LexCV, Junho 2026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65A82" w:sz="6" w:space="4"/>
      </w:pBdr>
      <w:tabs>
        <w:tab w:val="right" w:pos="9026"/>
      </w:tabs>
    </w:pPr>
    <w:r>
      <w:rPr>
        <w:rFonts w:ascii="Arial" w:cs="Arial" w:eastAsia="Arial" w:hAnsi="Arial"/>
        <w:color w:val="64748B"/>
        <w:sz w:val="16"/>
        <w:szCs w:val="16"/>
      </w:rPr>
      <w:t xml:space="preserve">Junho 2026</w:t>
    </w:r>
    <w:r>
      <w:rPr>
        <w:rFonts w:ascii="Arial" w:cs="Arial" w:eastAsia="Arial" w:hAnsi="Arial"/>
        <w:color w:val="64748B"/>
        <w:sz w:val="16"/>
        <w:szCs w:val="16"/>
      </w:rPr>
      <w:t xml:space="preserve">	Página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65A82" w:sz="6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065A82"/>
        <w:sz w:val="18"/>
        <w:szCs w:val="18"/>
      </w:rPr>
      <w:t xml:space="preserve">LexCV — Plano Financeiro SaaS 2026–2029</w:t>
    </w:r>
    <w:r>
      <w:rPr>
        <w:rFonts w:ascii="Arial" w:cs="Arial" w:eastAsia="Arial" w:hAnsi="Arial"/>
        <w:color w:val="64748B"/>
        <w:sz w:val="18"/>
        <w:szCs w:val="18"/>
      </w:rPr>
      <w:t xml:space="preserve">	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0A234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065A8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2026-06-29T10:01:53.765Z</dcterms:created>
  <dcterms:modified xsi:type="dcterms:W3CDTF">2026-06-29T10:01:53.775Z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