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***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+++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+-+-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