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456628B7" w14:textId="2FBB7DF8" w:rsidR="00DB5ADA" w:rsidRPr="00741312" w:rsidRDefault="00DB5ADA" w:rsidP="00DB5ADA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5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08/2022</w:t>
      </w:r>
    </w:p>
    <w:p w14:paraId="7B34BD88" w14:textId="6FFF9DF3" w:rsidR="00DB5ADA" w:rsidRPr="00C353D3" w:rsidRDefault="00DB5ADA" w:rsidP="00DB5ADA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Meta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6E9878AA" w14:textId="77777777" w:rsid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Worked closely with cross-functional team to scope and prioritize research questions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a rapidly changing environment</w:t>
      </w:r>
    </w:p>
    <w:p w14:paraId="13EDA45E" w14:textId="08DABB45" w:rsidR="00DB5ADA" w:rsidRP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Conducted two qualitative studies with 18 shoppers to improve their ad conversion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experience</w:t>
      </w:r>
    </w:p>
    <w:p w14:paraId="1CE23AB4" w14:textId="77777777" w:rsid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Presented findings to stakeholders to drive decision-making, which impacted the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DB5ADA">
        <w:rPr>
          <w:rFonts w:ascii="Arial" w:hAnsi="Arial" w:cs="Arial"/>
          <w:bCs/>
          <w:sz w:val="20"/>
          <w:szCs w:val="20"/>
        </w:rPr>
        <w:t>investment and naming of a product</w:t>
      </w:r>
    </w:p>
    <w:p w14:paraId="78097A7D" w14:textId="0F9D340B" w:rsidR="00DB5ADA" w:rsidRPr="00DB5ADA" w:rsidRDefault="00DB5ADA" w:rsidP="00DB5ADA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DB5ADA">
        <w:rPr>
          <w:rFonts w:ascii="Arial" w:hAnsi="Arial" w:cs="Arial"/>
          <w:bCs/>
          <w:sz w:val="20"/>
          <w:szCs w:val="20"/>
        </w:rPr>
        <w:t>Led design workshops with XFN team to determine next steps for product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34F2F1F8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DB5ADA"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39275909" w14:textId="1491EF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</w:t>
      </w:r>
      <w:r w:rsidR="00DB5ADA">
        <w:rPr>
          <w:rFonts w:ascii="Arial" w:hAnsi="Arial" w:cs="Arial"/>
          <w:bCs/>
          <w:sz w:val="20"/>
          <w:szCs w:val="20"/>
        </w:rPr>
        <w:t xml:space="preserve">’ </w:t>
      </w:r>
      <w:r>
        <w:rPr>
          <w:rFonts w:ascii="Arial" w:hAnsi="Arial" w:cs="Arial"/>
          <w:bCs/>
          <w:sz w:val="20"/>
          <w:szCs w:val="20"/>
        </w:rPr>
        <w:t>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356DEA01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CA6EE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561244AE" w:rsidR="00D347BE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5E19836" w14:textId="33A4B20C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Narratives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3C3C1C86" w:rsidR="0098594A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5BC0F6BB" w14:textId="14C64D70" w:rsidR="000F2975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</w:p>
    <w:p w14:paraId="7D4CAE7B" w14:textId="08E8625D" w:rsidR="000F2975" w:rsidRPr="00E05993" w:rsidRDefault="000F2975" w:rsidP="000F297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MS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</w:t>
      </w:r>
      <w:r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12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1CE9ADA" w14:textId="77777777" w:rsidR="000F2975" w:rsidRPr="00D46589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E173B8A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91</w:t>
      </w:r>
    </w:p>
    <w:p w14:paraId="0C540CA2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16956B93" w14:textId="22D12DF3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gram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gram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6741F9C1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, SQL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A68511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  <w:r w:rsidR="000F2975">
        <w:rPr>
          <w:rFonts w:ascii="Arial" w:eastAsia="Century Gothic" w:hAnsi="Arial" w:cs="Arial"/>
          <w:color w:val="434343"/>
          <w:sz w:val="20"/>
          <w:szCs w:val="20"/>
        </w:rPr>
        <w:t>, Survey Design, Qualtrics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7EFAEA64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Figma,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6392AD5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9A1ECA">
        <w:rPr>
          <w:rFonts w:ascii="Arial" w:eastAsia="Century Gothic" w:hAnsi="Arial" w:cs="Arial"/>
          <w:color w:val="434343"/>
          <w:sz w:val="20"/>
          <w:szCs w:val="20"/>
        </w:rPr>
        <w:t xml:space="preserve">Node.js, 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>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proofErr w:type="spellStart"/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  <w:proofErr w:type="spellEnd"/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1A51DEBC" w14:textId="4417ADA7" w:rsidR="00CA66CB" w:rsidRDefault="00CA66CB" w:rsidP="00CA66C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Pr="00CA66CB">
        <w:rPr>
          <w:rFonts w:ascii="Arial" w:eastAsia="Century Gothic" w:hAnsi="Arial" w:cs="Arial"/>
          <w:bCs/>
          <w:sz w:val="20"/>
          <w:szCs w:val="20"/>
        </w:rPr>
        <w:t xml:space="preserve">Understanding Gender Transition Tracking </w:t>
      </w:r>
      <w:proofErr w:type="gramStart"/>
      <w:r w:rsidRPr="00CA66CB">
        <w:rPr>
          <w:rFonts w:ascii="Arial" w:eastAsia="Century Gothic" w:hAnsi="Arial" w:cs="Arial"/>
          <w:bCs/>
          <w:sz w:val="20"/>
          <w:szCs w:val="20"/>
        </w:rPr>
        <w:t>Habits</w:t>
      </w:r>
      <w:proofErr w:type="gramEnd"/>
      <w:r w:rsidRPr="00CA66CB">
        <w:rPr>
          <w:rFonts w:ascii="Arial" w:eastAsia="Century Gothic" w:hAnsi="Arial" w:cs="Arial"/>
          <w:bCs/>
          <w:sz w:val="20"/>
          <w:szCs w:val="20"/>
        </w:rPr>
        <w:t xml:space="preserve">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Haimson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3E5C929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8F6F44">
        <w:rPr>
          <w:rFonts w:ascii="Arial" w:eastAsia="Century Gothic" w:hAnsi="Arial" w:cs="Arial"/>
          <w:bCs/>
          <w:sz w:val="20"/>
          <w:szCs w:val="20"/>
        </w:rPr>
        <w:t>2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952CE"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(VL/HCC). IEEE,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>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4FC9D8DA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B256E9">
        <w:rPr>
          <w:rFonts w:ascii="Arial" w:eastAsia="Century Gothic" w:hAnsi="Arial" w:cs="Arial"/>
          <w:b/>
          <w:sz w:val="20"/>
          <w:szCs w:val="20"/>
        </w:rPr>
        <w:t>Chuanromanee, T.,</w:t>
      </w:r>
      <w:r>
        <w:rPr>
          <w:rFonts w:ascii="Arial" w:eastAsia="Century Gothic" w:hAnsi="Arial" w:cs="Arial"/>
          <w:bCs/>
          <w:sz w:val="20"/>
          <w:szCs w:val="20"/>
        </w:rPr>
        <w:t xml:space="preserve"> &amp; Metoyer, R. 2022. </w:t>
      </w:r>
      <w:r w:rsidRPr="00C84A41">
        <w:rPr>
          <w:rFonts w:ascii="Arial" w:eastAsia="Century Gothic" w:hAnsi="Arial" w:cs="Arial"/>
          <w:bCs/>
          <w:sz w:val="20"/>
          <w:szCs w:val="20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Designing Interactive Systems Conference</w:t>
      </w:r>
      <w:r w:rsidR="007D65C7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pp. 1-3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</w:p>
    <w:p w14:paraId="3210E9CE" w14:textId="2759B65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17FF0">
        <w:rPr>
          <w:rFonts w:ascii="Arial" w:eastAsia="Century Gothic" w:hAnsi="Arial" w:cs="Arial"/>
          <w:bCs/>
          <w:sz w:val="20"/>
          <w:szCs w:val="20"/>
        </w:rPr>
        <w:t xml:space="preserve">Collective, C. J., Molina León, G.,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Kirabo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>, L., Wong-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Villacres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 xml:space="preserve">, M., 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Karusala</w:t>
      </w:r>
      <w:proofErr w:type="spellEnd"/>
      <w:r w:rsidRPr="00217FF0">
        <w:rPr>
          <w:rFonts w:ascii="Arial" w:eastAsia="Century Gothic" w:hAnsi="Arial" w:cs="Arial"/>
          <w:bCs/>
          <w:sz w:val="20"/>
          <w:szCs w:val="20"/>
        </w:rPr>
        <w:t xml:space="preserve">, N., Kumar, N., </w:t>
      </w:r>
      <w:r>
        <w:rPr>
          <w:rFonts w:ascii="Arial" w:eastAsia="Century Gothic" w:hAnsi="Arial" w:cs="Arial"/>
          <w:bCs/>
          <w:sz w:val="20"/>
          <w:szCs w:val="20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</w:rPr>
        <w:t>-</w:t>
      </w:r>
      <w:proofErr w:type="spellStart"/>
      <w:r w:rsidRPr="00217FF0">
        <w:rPr>
          <w:rFonts w:ascii="Arial" w:eastAsia="Century Gothic" w:hAnsi="Arial" w:cs="Arial"/>
          <w:bCs/>
          <w:sz w:val="20"/>
          <w:szCs w:val="20"/>
        </w:rPr>
        <w:t>Cuéllar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P.,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Protim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Borah, P., Garg, R.,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Oswal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S.K., </w:t>
      </w:r>
      <w:r w:rsidRPr="00217FF0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</w:rPr>
        <w:t>&amp; Sharma, V. 2021. Following the Trail of Citational Justice: Critically Examining Knowledge Production in HCI. In Companion Publication of the 2021 Conference on Computer Supported Cooperative Work and Social Computing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  <w:r w:rsidRPr="00217FF0">
        <w:rPr>
          <w:rFonts w:ascii="Arial" w:eastAsia="Century Gothic" w:hAnsi="Arial" w:cs="Arial"/>
          <w:bCs/>
          <w:sz w:val="20"/>
          <w:szCs w:val="20"/>
        </w:rPr>
        <w:t xml:space="preserve"> pp. 360-363.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Dym</w:t>
      </w:r>
      <w:proofErr w:type="spellEnd"/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1D5CDF">
        <w:rPr>
          <w:rFonts w:ascii="Arial" w:eastAsia="Century Gothic" w:hAnsi="Arial" w:cs="Arial"/>
          <w:bCs/>
          <w:sz w:val="20"/>
          <w:szCs w:val="20"/>
        </w:rPr>
        <w:t>Scheuerman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Strengthening the </w:t>
      </w:r>
      <w:r w:rsidRPr="001D5CDF">
        <w:rPr>
          <w:rFonts w:ascii="Arial" w:eastAsia="Century Gothic" w:hAnsi="Arial" w:cs="Arial"/>
          <w:bCs/>
          <w:sz w:val="20"/>
          <w:szCs w:val="20"/>
        </w:rPr>
        <w:lastRenderedPageBreak/>
        <w:t>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2B009274" w14:textId="37F23EAA" w:rsidR="00BC6028" w:rsidRDefault="00BC6028" w:rsidP="00BC6028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964745">
        <w:rPr>
          <w:rFonts w:ascii="Arial" w:eastAsia="Century Gothic" w:hAnsi="Arial" w:cs="Arial"/>
          <w:bCs/>
          <w:sz w:val="20"/>
          <w:szCs w:val="20"/>
        </w:rPr>
        <w:t>Crowdsourced Exploration of the Effects of Visualization on Confirmation Bias in Decision-Making in Non-Experts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</w:t>
      </w:r>
      <w:r>
        <w:rPr>
          <w:rFonts w:ascii="Arial" w:eastAsia="Century Gothic" w:hAnsi="Arial" w:cs="Arial"/>
          <w:bCs/>
          <w:sz w:val="20"/>
          <w:szCs w:val="20"/>
        </w:rPr>
        <w:t>),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Rome, Italy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September 12,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Invited Panelist at Applied Trans Tech Studies Symposium, Virtual, January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47EFD">
        <w:rPr>
          <w:rFonts w:ascii="Arial" w:eastAsia="Century Gothic" w:hAnsi="Arial" w:cs="Arial"/>
          <w:bCs/>
          <w:sz w:val="20"/>
          <w:szCs w:val="20"/>
        </w:rPr>
        <w:t>Invited talk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6F5FB9F6" w14:textId="3ABE0208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Cohort for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lastRenderedPageBreak/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</w:t>
      </w:r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0C3CCBF8" w14:textId="4ABE4E7D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>Trans/Queer in HCI Mentoring Program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1864625B" w:rsidR="005650CC" w:rsidRDefault="005650CC" w:rsidP="00BE57B7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</w:t>
      </w:r>
      <w:r w:rsidR="00866F2B">
        <w:rPr>
          <w:rFonts w:ascii="Arial" w:eastAsia="Century Gothic" w:hAnsi="Arial" w:cs="Arial"/>
          <w:sz w:val="20"/>
          <w:szCs w:val="20"/>
        </w:rPr>
        <w:t xml:space="preserve">CHI </w:t>
      </w:r>
      <w:r w:rsidR="00866F2B" w:rsidRPr="0087493F">
        <w:rPr>
          <w:rFonts w:ascii="Arial" w:eastAsia="Century Gothic" w:hAnsi="Arial" w:cs="Arial"/>
          <w:b/>
          <w:bCs/>
          <w:sz w:val="20"/>
          <w:szCs w:val="20"/>
        </w:rPr>
        <w:t>2023</w:t>
      </w:r>
      <w:r w:rsidR="00866F2B">
        <w:rPr>
          <w:rFonts w:ascii="Arial" w:eastAsia="Century Gothic" w:hAnsi="Arial" w:cs="Arial"/>
          <w:sz w:val="20"/>
          <w:szCs w:val="20"/>
        </w:rPr>
        <w:t xml:space="preserve">; </w:t>
      </w:r>
      <w:r w:rsidR="002B6842">
        <w:rPr>
          <w:rFonts w:ascii="Arial" w:eastAsia="Century Gothic" w:hAnsi="Arial" w:cs="Arial"/>
          <w:sz w:val="20"/>
          <w:szCs w:val="20"/>
        </w:rPr>
        <w:t>CHI PLAY</w:t>
      </w:r>
      <w:r w:rsidR="00BE57B7">
        <w:rPr>
          <w:rFonts w:ascii="Arial" w:eastAsia="Century Gothic" w:hAnsi="Arial" w:cs="Arial"/>
          <w:sz w:val="20"/>
          <w:szCs w:val="20"/>
        </w:rPr>
        <w:br/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BE57B7">
        <w:rPr>
          <w:rFonts w:ascii="Arial" w:eastAsia="Century Gothic" w:hAnsi="Arial" w:cs="Arial"/>
          <w:sz w:val="20"/>
          <w:szCs w:val="20"/>
        </w:rPr>
        <w:t xml:space="preserve">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BE57B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</w:t>
      </w:r>
      <w:proofErr w:type="gramStart"/>
      <w:r w:rsidR="00BE57B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</w:t>
      </w:r>
      <w:proofErr w:type="gramEnd"/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bold = special recognition)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29018E0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46778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1B91457D" w14:textId="2179FA8A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B52C" w14:textId="77777777" w:rsidR="003336C3" w:rsidRDefault="003336C3" w:rsidP="006047DB">
      <w:pPr>
        <w:spacing w:after="0" w:line="240" w:lineRule="auto"/>
      </w:pPr>
      <w:r>
        <w:separator/>
      </w:r>
    </w:p>
  </w:endnote>
  <w:endnote w:type="continuationSeparator" w:id="0">
    <w:p w14:paraId="751D9DA2" w14:textId="77777777" w:rsidR="003336C3" w:rsidRDefault="003336C3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4918" w14:textId="77777777" w:rsidR="003336C3" w:rsidRDefault="003336C3" w:rsidP="006047DB">
      <w:pPr>
        <w:spacing w:after="0" w:line="240" w:lineRule="auto"/>
      </w:pPr>
      <w:r>
        <w:separator/>
      </w:r>
    </w:p>
  </w:footnote>
  <w:footnote w:type="continuationSeparator" w:id="0">
    <w:p w14:paraId="78E31AA2" w14:textId="77777777" w:rsidR="003336C3" w:rsidRDefault="003336C3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2975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336C3"/>
    <w:rsid w:val="00344390"/>
    <w:rsid w:val="003470B5"/>
    <w:rsid w:val="00352AB4"/>
    <w:rsid w:val="00354B59"/>
    <w:rsid w:val="00356BCD"/>
    <w:rsid w:val="003773D5"/>
    <w:rsid w:val="003A2A7D"/>
    <w:rsid w:val="003B52C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33161"/>
    <w:rsid w:val="00444351"/>
    <w:rsid w:val="00447DD1"/>
    <w:rsid w:val="0046279D"/>
    <w:rsid w:val="00464E24"/>
    <w:rsid w:val="00464FB7"/>
    <w:rsid w:val="0046524D"/>
    <w:rsid w:val="0046778E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5E6AA4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D65C7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6F2B"/>
    <w:rsid w:val="00867019"/>
    <w:rsid w:val="008700FC"/>
    <w:rsid w:val="00870BAC"/>
    <w:rsid w:val="008712DA"/>
    <w:rsid w:val="0087328D"/>
    <w:rsid w:val="0087493F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8F6F44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1EC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5C9B"/>
    <w:rsid w:val="00B17C47"/>
    <w:rsid w:val="00B2538E"/>
    <w:rsid w:val="00B256E9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C6028"/>
    <w:rsid w:val="00BE57B7"/>
    <w:rsid w:val="00BF05DC"/>
    <w:rsid w:val="00C03396"/>
    <w:rsid w:val="00C05ECD"/>
    <w:rsid w:val="00C21058"/>
    <w:rsid w:val="00C26624"/>
    <w:rsid w:val="00C353D3"/>
    <w:rsid w:val="00C54448"/>
    <w:rsid w:val="00C72E55"/>
    <w:rsid w:val="00C84A41"/>
    <w:rsid w:val="00C97F7E"/>
    <w:rsid w:val="00CA66CB"/>
    <w:rsid w:val="00CA6EEA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952CE"/>
    <w:rsid w:val="00DA73DF"/>
    <w:rsid w:val="00DB5695"/>
    <w:rsid w:val="00DB5ADA"/>
    <w:rsid w:val="00DC098A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150</cp:revision>
  <cp:lastPrinted>2020-03-12T10:32:00Z</cp:lastPrinted>
  <dcterms:created xsi:type="dcterms:W3CDTF">2020-03-12T10:32:00Z</dcterms:created>
  <dcterms:modified xsi:type="dcterms:W3CDTF">2022-11-09T15:30:00Z</dcterms:modified>
</cp:coreProperties>
</file>