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caps/>
          <w:color w:val="2E6B4E"/>
          <w:spacing w:val="120"/>
          <w:sz w:val="16"/>
          <w:szCs w:val="16"/>
        </w:rPr>
        <w:t xml:space="preserve">TCIA / Future Labs · High Detail Level · Technical Reference</w:t>
      </w:r>
    </w:p>
    <w:p>
      <w:pPr>
        <w:pStyle w:val="Heading1"/>
        <w:spacing w:after="160" w:before="0"/>
      </w:pPr>
      <w:r>
        <w:t xml:space="preserve">Data Center Impact Tool</w:t>
      </w:r>
    </w:p>
    <w:p>
      <w:pPr>
        <w:spacing w:after="200" w:before="0"/>
      </w:pPr>
      <w:r>
        <w:rPr>
          <w:i/>
          <w:iCs/>
          <w:color w:val="3D4039"/>
          <w:sz w:val="26"/>
          <w:szCs w:val="26"/>
        </w:rPr>
        <w:t xml:space="preserve">Architecture, Validation Checklist, and Deployment Runbook</w:t>
      </w:r>
    </w:p>
    <w:p>
      <w:pPr>
        <w:spacing w:after="400" w:before="0"/>
      </w:pPr>
      <w:r>
        <w:rPr>
          <w:b/>
          <w:bCs/>
          <w:color w:val="6B7069"/>
          <w:sz w:val="20"/>
          <w:szCs w:val="20"/>
        </w:rPr>
        <w:t xml:space="preserve">Owner: </w:t>
      </w:r>
      <w:r>
        <w:rPr>
          <w:color w:val="6B7069"/>
          <w:sz w:val="20"/>
          <w:szCs w:val="20"/>
        </w:rPr>
        <w:t xml:space="preserve">aasim@tciamn.org</w:t>
      </w:r>
      <w:r>
        <w:rPr>
          <w:b/>
          <w:bCs/>
          <w:color w:val="6B7069"/>
          <w:sz w:val="20"/>
          <w:szCs w:val="20"/>
        </w:rPr>
        <w:t xml:space="preserve">   ·   Org: </w:t>
      </w:r>
      <w:r>
        <w:rPr>
          <w:color w:val="6B7069"/>
          <w:sz w:val="20"/>
          <w:szCs w:val="20"/>
        </w:rPr>
        <w:t xml:space="preserve">Twin Cities Innovation Alliance</w:t>
      </w:r>
      <w:r>
        <w:rPr>
          <w:b/>
          <w:bCs/>
          <w:color w:val="6B7069"/>
          <w:sz w:val="20"/>
          <w:szCs w:val="20"/>
        </w:rPr>
        <w:t xml:space="preserve">   ·   Updated: </w:t>
      </w:r>
      <w:r>
        <w:rPr>
          <w:color w:val="6B7069"/>
          <w:sz w:val="20"/>
          <w:szCs w:val="20"/>
        </w:rPr>
        <w:t xml:space="preserve">2026-09-07</w:t>
      </w:r>
      <w:r>
        <w:rPr>
          <w:b/>
          <w:bCs/>
          <w:color w:val="6B7069"/>
          <w:sz w:val="20"/>
          <w:szCs w:val="20"/>
        </w:rPr>
        <w:t xml:space="preserve">   ·   Status: </w:t>
      </w:r>
      <w:r>
        <w:rPr>
          <w:color w:val="B87418"/>
          <w:sz w:val="20"/>
          <w:szCs w:val="20"/>
        </w:rPr>
        <w:t xml:space="preserve">Development complete — not yet validated</w:t>
      </w:r>
    </w:p>
    <w:p>
      <w:pPr>
        <w:pBdr>
          <w:bottom w:val="single" w:color="D4CFC6" w:sz="6"/>
        </w:pBdr>
        <w:spacing w:after="320" w:before="320"/>
      </w:pPr>
    </w:p>
    <w:p>
      <w:pPr>
        <w:pStyle w:val="Heading2"/>
        <w:spacing w:after="120" w:before="480"/>
      </w:pPr>
      <w:r>
        <w:t xml:space="preserve">Architecture Overview</w:t>
      </w:r>
    </w:p>
    <w:p>
      <w:pPr>
        <w:spacing w:after="120" w:before="80"/>
        <w:jc w:val="both"/>
      </w:pPr>
      <w:r>
        <w:rPr>
          <w:color w:val="1A1C18"/>
          <w:sz w:val="22"/>
          <w:szCs w:val="22"/>
        </w:rPr>
        <w:t xml:space="preserve">The Data Center Impact Tool is a React 18 single-page application built with Vite 5. It follows a two-layer data strategy: a live Google Sheets feed as the primary source, with a local fallback JSON file if the feed is unavailable.</w:t>
      </w:r>
    </w:p>
    <w:p>
      <w:pPr>
        <w:pStyle w:val="Heading3"/>
        <w:spacing w:after="80" w:before="280"/>
      </w:pPr>
      <w:r>
        <w:t xml:space="preserve">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React 18 + Vite 5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Interactive SPA — state selector, impact cards, charts</w:t>
            </w:r>
          </w:p>
        </w:tc>
      </w:tr>
      <w:tr>
        <w:tc>
          <w:tcPr>
            <w:tcW w:type="dxa" w:w="22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Live data</w:t>
            </w:r>
          </w:p>
        </w:tc>
        <w:tc>
          <w:tcPr>
            <w:tcW w:type="dxa" w:w="26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Google Sheets API v4</w:t>
            </w:r>
          </w:p>
        </w:tc>
        <w:tc>
          <w:tcPr>
            <w:tcW w:type="dxa" w:w="45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Primary data source — 2,820 data centers, 50 US states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Fallback data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data/fallback.json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30 states of impact data — used if API call fails</w:t>
            </w:r>
          </w:p>
        </w:tc>
      </w:tr>
      <w:tr>
        <w:tc>
          <w:tcPr>
            <w:tcW w:type="dxa" w:w="22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Netlify (pending)</w:t>
            </w:r>
          </w:p>
        </w:tc>
        <w:tc>
          <w:tcPr>
            <w:tcW w:type="dxa" w:w="45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CI/CD platform — auto-rebuilds on push to main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DNS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GoDaddy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CNAME record pointing subdomain to Netlify deployment</w:t>
            </w:r>
          </w:p>
        </w:tc>
      </w:tr>
      <w:tr>
        <w:tc>
          <w:tcPr>
            <w:tcW w:type="dxa" w:w="22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Env vars</w:t>
            </w:r>
          </w:p>
        </w:tc>
        <w:tc>
          <w:tcPr>
            <w:tcW w:type="dxa" w:w="26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Netlify UI</w:t>
            </w:r>
          </w:p>
        </w:tc>
        <w:tc>
          <w:tcPr>
            <w:tcW w:type="dxa" w:w="45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API key stored server-side — not in the repo</w:t>
            </w:r>
          </w:p>
        </w:tc>
      </w:tr>
    </w:tbl>
    <w:p>
      <w:pPr>
        <w:pStyle w:val="Heading3"/>
        <w:spacing w:after="80" w:before="280"/>
      </w:pPr>
      <w:r>
        <w:t xml:space="preserve">Component Map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App.jsx — root component; manages state selection and data fetch lifecycle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StateSelector.jsx — dropdown; triggers data load for selected state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ImpactCard.jsx — renders a single impact metric (deaths, energy, emissions, cost)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DataChart.jsx — bar chart comparing state to national averages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DataContext.jsx — React context; holds fetched data, loading state, and error flag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api/sheets.js — wraps Google Sheets API call; returns structured impact object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data/fallback.json — static backup for 30 states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public/embed.html — fully self-contained standalone version (no build step)</w:t>
      </w:r>
    </w:p>
    <w:p>
      <w:pPr>
        <w:pStyle w:val="Heading3"/>
        <w:spacing w:after="80" w:before="280"/>
      </w:pPr>
      <w:r>
        <w:t xml:space="preserve">Environment Variables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shd w:fill="FDF3E0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shd w:fill="FD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87418"/>
                <w:sz w:val="22"/>
                <w:szCs w:val="22"/>
              </w:rPr>
              <w:t xml:space="preserve">Security: </w:t>
            </w:r>
            <w:r>
              <w:rPr>
                <w:color w:val="1A1C18"/>
                <w:sz w:val="22"/>
                <w:szCs w:val="22"/>
              </w:rPr>
              <w:t xml:space="preserve">Never commit API keys to the repository. Set these in the Netlify dashboard under Site Settings → Environment Variables.</w:t>
            </w:r>
          </w:p>
        </w:tc>
      </w:tr>
    </w:tbl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VITE_GOOGLE_SHEETS_API_KEY=&lt;your key&gt;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VITE_SPREADSHEET_ID=&lt;your sheet ID&gt;</w:t>
      </w:r>
    </w:p>
    <w:p>
      <w:pPr>
        <w:spacing w:after="120" w:before="80"/>
        <w:jc w:val="both"/>
      </w:pPr>
      <w:r>
        <w:rPr>
          <w:color w:val="1A1C18"/>
          <w:sz w:val="22"/>
          <w:szCs w:val="22"/>
        </w:rPr>
        <w:t xml:space="preserve">Both variables are prefixed with VITE_ so Vite exposes them to client-side code at build time. They are not secrets in the cryptographic sense — they are restricted by Google API key settings (HTTP referrer restriction to the deployment domain).</w:t>
      </w:r>
    </w:p>
    <w:p>
      <w:pPr>
        <w:pStyle w:val="Heading2"/>
        <w:spacing w:after="120" w:before="480"/>
      </w:pPr>
      <w:r>
        <w:t xml:space="preserve">Security Status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shd w:fill="FDEDED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shd w:fill="FDED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High CVE — esbuild / Vite: </w:t>
            </w:r>
            <w:r>
              <w:rPr>
                <w:color w:val="1A1C18"/>
                <w:sz w:val="22"/>
                <w:szCs w:val="22"/>
              </w:rPr>
              <w:t xml:space="preserve">npm audit reports esbuild &lt;= 0.24.2 (moderate) and vite &lt;= 6.4.2 (high). These affect the dev server only and do not appear in the production build. Fix before the next development sprint: npm audit fix --force upgrades to Vite 8.x (breaking change — test thoroughly).</w:t>
            </w:r>
          </w:p>
        </w:tc>
      </w:tr>
    </w:tbl>
    <w:p>
      <w:pPr>
        <w:spacing w:after="120" w:before="80"/>
        <w:jc w:val="both"/>
      </w:pPr>
      <w:r>
        <w:rPr>
          <w:color w:val="1A1C18"/>
          <w:sz w:val="22"/>
          <w:szCs w:val="22"/>
        </w:rPr>
        <w:t xml:space="preserve">The current production build output is unaffected by the dev-server CVE. However, upgrading Vite is required before the next active development phase begins.</w:t>
      </w:r>
    </w:p>
    <w:p>
      <w:pPr>
        <w:pStyle w:val="Heading2"/>
        <w:spacing w:after="120" w:before="480"/>
      </w:pPr>
      <w:r>
        <w:t xml:space="preserve">Validation Checklist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shd w:fill="FDF3E0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shd w:fill="FD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87418"/>
                <w:sz w:val="22"/>
                <w:szCs w:val="22"/>
              </w:rPr>
              <w:t xml:space="preserve">Required before deployment: </w:t>
            </w:r>
            <w:r>
              <w:rPr>
                <w:color w:val="1A1C18"/>
                <w:sz w:val="22"/>
                <w:szCs w:val="22"/>
              </w:rPr>
              <w:t xml:space="preserve">Every item below must pass before the tool is deployed or shared publicly. Validation is the next step.</w:t>
            </w:r>
          </w:p>
        </w:tc>
      </w:tr>
    </w:tbl>
    <w:p>
      <w:pPr>
        <w:pStyle w:val="Heading3"/>
        <w:spacing w:after="80" w:before="280"/>
      </w:pPr>
      <w:r>
        <w:t xml:space="preserve">Environment Setup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Set VITE_GOOGLE_SHEETS_API_KEY in a local .env file (not committed)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Set VITE_SPREADSHEET_ID to the live FracTracker / IM3 data sheet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Restrict the API key in Google Cloud Console: HTTP referrer → deployment domain only</w:t>
      </w:r>
    </w:p>
    <w:p>
      <w:pPr>
        <w:pStyle w:val="Heading3"/>
        <w:spacing w:after="80" w:before="280"/>
      </w:pPr>
      <w:r>
        <w:t xml:space="preserve">Data Validation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Run npm run dev and open the tool in a browser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Select at least 5 states — confirm numbers load without error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Compare at least 3 state totals against the source spreadsheet by hand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Trigger the fallback: disable the API key temporarily; confirm fallback.json loads and 30 states still work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Confirm all 50 states appear in the state selector dropdown</w:t>
      </w:r>
    </w:p>
    <w:p>
      <w:pPr>
        <w:pStyle w:val="Heading3"/>
        <w:spacing w:after="80" w:before="280"/>
      </w:pPr>
      <w:r>
        <w:t xml:space="preserve">UI / UX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Check mobile layout at 375px width (iPhone SE viewport)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Check desktop layout at 1280px width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Confirm no JavaScript console errors in any state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Confirm loading spinner appears while data fetches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Confirm error state renders if API fails and fallback also fails</w:t>
      </w:r>
    </w:p>
    <w:p>
      <w:pPr>
        <w:pStyle w:val="Heading3"/>
        <w:spacing w:after="80" w:before="280"/>
      </w:pPr>
      <w:r>
        <w:t xml:space="preserve">Build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Run npm run build — confirm no errors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Run npm run preview — confirm the production build works locally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Confirm the embed.html standalone file loads correctly in a browser with no build step</w:t>
      </w:r>
    </w:p>
    <w:p>
      <w:pPr>
        <w:pStyle w:val="Heading2"/>
        <w:spacing w:after="120" w:before="480"/>
      </w:pPr>
      <w:r>
        <w:t xml:space="preserve">Netlify Deployment Runbook</w:t>
      </w:r>
    </w:p>
    <w:p>
      <w:pPr>
        <w:spacing w:after="120" w:before="80"/>
        <w:jc w:val="both"/>
      </w:pPr>
      <w:r>
        <w:rPr>
          <w:color w:val="1A1C18"/>
          <w:sz w:val="22"/>
          <w:szCs w:val="22"/>
        </w:rPr>
        <w:t xml:space="preserve">These steps are performed once. After initial setup, deployments are automatic on every push to 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Step</w:t>
            </w:r>
          </w:p>
        </w:tc>
        <w:tc>
          <w:tcPr>
            <w:tcW w:type="dxa" w:w="556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Action</w:t>
            </w:r>
          </w:p>
        </w:tc>
        <w:tc>
          <w:tcPr>
            <w:tcW w:type="dxa" w:w="34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Create Netlify account or log in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netlify.com</w:t>
            </w:r>
          </w:p>
        </w:tc>
      </w:tr>
      <w:tr>
        <w:tc>
          <w:tcPr>
            <w:tcW w:type="dxa" w:w="4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New site → Import from Git → GitHub → tciamn/Darkcenter</w:t>
            </w:r>
          </w:p>
        </w:tc>
        <w:tc>
          <w:tcPr>
            <w:tcW w:type="dxa" w:w="34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Netlify UI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Build command: npm run build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Netlify → Site Settings → Build</w:t>
            </w:r>
          </w:p>
        </w:tc>
      </w:tr>
      <w:tr>
        <w:tc>
          <w:tcPr>
            <w:tcW w:type="dxa" w:w="4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Publish directory: dist</w:t>
            </w:r>
          </w:p>
        </w:tc>
        <w:tc>
          <w:tcPr>
            <w:tcW w:type="dxa" w:w="34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Netlify → Site Settings → Build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Add VITE_GOOGLE_SHEETS_API_KEY env var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Netlify → Site Settings → Env Vars</w:t>
            </w:r>
          </w:p>
        </w:tc>
      </w:tr>
      <w:tr>
        <w:tc>
          <w:tcPr>
            <w:tcW w:type="dxa" w:w="4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Add VITE_SPREADSHEET_ID env var</w:t>
            </w:r>
          </w:p>
        </w:tc>
        <w:tc>
          <w:tcPr>
            <w:tcW w:type="dxa" w:w="34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Netlify → Site Settings → Env Vars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Trigger first deploy — watch build log for errors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Netlify → Deploys</w:t>
            </w:r>
          </w:p>
        </w:tc>
      </w:tr>
      <w:tr>
        <w:tc>
          <w:tcPr>
            <w:tcW w:type="dxa" w:w="4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Copy the Netlify deploy URL (e.g. darkcenter.netlify.app)</w:t>
            </w:r>
          </w:p>
        </w:tc>
        <w:tc>
          <w:tcPr>
            <w:tcW w:type="dxa" w:w="34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Netlify → Domains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Add CNAME record at GoDaddy: data.tciamn.org → Netlify URL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GoDaddy DNS Manager</w:t>
            </w:r>
          </w:p>
        </w:tc>
      </w:tr>
      <w:tr>
        <w:tc>
          <w:tcPr>
            <w:tcW w:type="dxa" w:w="4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Wait for DNS propagation (up to 24h); confirm custom domain loads</w:t>
            </w:r>
          </w:p>
        </w:tc>
        <w:tc>
          <w:tcPr>
            <w:tcW w:type="dxa" w:w="34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Browser</w:t>
            </w:r>
          </w:p>
        </w:tc>
      </w:tr>
    </w:tbl>
    <w:p>
      <w:pPr>
        <w:pStyle w:val="Heading3"/>
        <w:spacing w:after="80" w:before="280"/>
      </w:pPr>
      <w:r>
        <w:t xml:space="preserve">netlify.toml (recommended — add to repo root)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[build]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  command = "npm run build"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  publish = "dist"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/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[[redirects]]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  from = "/*"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  to = "/index.html"</w:t>
      </w:r>
    </w:p>
    <w:p>
      <w:pPr>
        <w:spacing w:after="40" w:before="4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  status = 200</w:t>
      </w:r>
    </w:p>
    <w:p>
      <w:pPr>
        <w:spacing w:after="120" w:before="80"/>
        <w:jc w:val="both"/>
      </w:pPr>
      <w:r>
        <w:rPr>
          <w:color w:val="1A1C18"/>
          <w:sz w:val="22"/>
          <w:szCs w:val="22"/>
        </w:rPr>
        <w:t xml:space="preserve">The redirects rule is required for React Router — without it, direct URLs (e.g. /state/mn) return 404 on Netlify.</w:t>
      </w:r>
    </w:p>
    <w:p>
      <w:pPr>
        <w:pStyle w:val="Heading2"/>
        <w:spacing w:after="120" w:before="480"/>
      </w:pPr>
      <w:r>
        <w:t xml:space="preserve">GoDaddy DNS Configuration</w:t>
      </w:r>
    </w:p>
    <w:p>
      <w:pPr>
        <w:spacing w:after="120" w:before="80"/>
        <w:jc w:val="both"/>
      </w:pPr>
      <w:r>
        <w:rPr>
          <w:color w:val="1A1C18"/>
          <w:sz w:val="22"/>
          <w:szCs w:val="22"/>
        </w:rPr>
        <w:t xml:space="preserve">DNS for all TCIA subdomains is managed at GoDaddy — not SiteGround. SiteGround hosts the WordPress site at app.tciamn.org but does not control DNS.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200"/>
        <w:gridCol w:w="1560"/>
      </w:tblGrid>
      <w:tr>
        <w:trPr>
          <w:tblHeader/>
        </w:trPr>
        <w:tc>
          <w:tcPr>
            <w:tcW w:type="dxa" w:w="18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Record Type</w:t>
            </w:r>
          </w:p>
        </w:tc>
        <w:tc>
          <w:tcPr>
            <w:tcW w:type="dxa" w:w="18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Name</w:t>
            </w:r>
          </w:p>
        </w:tc>
        <w:tc>
          <w:tcPr>
            <w:tcW w:type="dxa" w:w="42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Value</w:t>
            </w:r>
          </w:p>
        </w:tc>
        <w:tc>
          <w:tcPr>
            <w:tcW w:type="dxa" w:w="156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TTL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CNAME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data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&lt;netlify-deploy-url&gt;.netlify.app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8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CNAME</w:t>
            </w:r>
          </w:p>
        </w:tc>
        <w:tc>
          <w:tcPr>
            <w:tcW w:type="dxa" w:w="18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app</w:t>
            </w:r>
          </w:p>
        </w:tc>
        <w:tc>
          <w:tcPr>
            <w:tcW w:type="dxa" w:w="42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siteground-ip-or-alias</w:t>
            </w:r>
          </w:p>
        </w:tc>
        <w:tc>
          <w:tcPr>
            <w:tcW w:type="dxa" w:w="15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CNAME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cloud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TBD (VPS IP — pending decision)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TBD</w:t>
            </w:r>
          </w:p>
        </w:tc>
      </w:tr>
    </w:tbl>
    <w:p>
      <w:pPr>
        <w:pStyle w:val="Heading2"/>
        <w:spacing w:after="120" w:before="480"/>
      </w:pPr>
      <w:r>
        <w:t xml:space="preserve">Branch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Branch</w:t>
            </w:r>
          </w:p>
        </w:tc>
        <w:tc>
          <w:tcPr>
            <w:tcW w:type="dxa" w:w="456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Contents</w:t>
            </w:r>
          </w:p>
        </w:tc>
        <w:tc>
          <w:tcPr>
            <w:tcW w:type="dxa" w:w="18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main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Complete React app + all HTML pages + CLAUDE.md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Current — Friday branch merged in</w:t>
            </w:r>
          </w:p>
        </w:tc>
      </w:tr>
      <w:tr>
        <w:tc>
          <w:tcPr>
            <w:tcW w:type="dxa" w:w="30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claude/squarespace-page-config-yydjup</w:t>
            </w:r>
          </w:p>
        </w:tc>
        <w:tc>
          <w:tcPr>
            <w:tcW w:type="dxa" w:w="45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Fixed creators timeline HTML; active working branch</w:t>
            </w:r>
          </w:p>
        </w:tc>
        <w:tc>
          <w:tcPr>
            <w:tcW w:type="dxa" w:w="18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claude/what-broke-this-should-be-uh7vcn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Friday branch — origin of complete app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Merged to main</w:t>
            </w:r>
          </w:p>
        </w:tc>
      </w:tr>
      <w:tr>
        <w:tc>
          <w:tcPr>
            <w:tcW w:type="dxa" w:w="30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claude/siteground-wordpress-setup-al3hdi</w:t>
            </w:r>
          </w:p>
        </w:tc>
        <w:tc>
          <w:tcPr>
            <w:tcW w:type="dxa" w:w="45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.claude/projects/ docs (Future Labs, Supernote)</w:t>
            </w:r>
          </w:p>
        </w:tc>
        <w:tc>
          <w:tcPr>
            <w:tcW w:type="dxa" w:w="18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Reference only</w:t>
            </w:r>
          </w:p>
        </w:tc>
      </w:tr>
    </w:tbl>
    <w:p>
      <w:pPr>
        <w:pBdr>
          <w:bottom w:val="single" w:color="D4CFC6" w:sz="6"/>
        </w:pBdr>
        <w:spacing w:after="320" w:before="320"/>
      </w:pPr>
    </w:p>
    <w:p>
      <w:pPr>
        <w:spacing w:before="400"/>
        <w:jc w:val="center"/>
      </w:pPr>
      <w:r>
        <w:rPr>
          <w:color w:val="6B7069"/>
          <w:sz w:val="18"/>
          <w:szCs w:val="18"/>
        </w:rPr>
        <w:t xml:space="preserve">TCIA / Future Labs · tciamn/Darkcenter · docs/hdl-data-center-tool.docx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0"/>
    </w:pPr>
    <w:rPr>
      <w:rFonts w:ascii="Calibri" w:cs="Calibri" w:eastAsia="Calibri" w:hAnsi="Calibri"/>
      <w:b/>
      <w:bCs/>
      <w:color w:val="1A1C18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480"/>
    </w:pPr>
    <w:rPr>
      <w:rFonts w:ascii="Calibri" w:cs="Calibri" w:eastAsia="Calibri" w:hAnsi="Calibri"/>
      <w:b/>
      <w:bCs/>
      <w:color w:val="2E6B4E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80"/>
    </w:pPr>
    <w:rPr>
      <w:rFonts w:ascii="Calibri" w:cs="Calibri" w:eastAsia="Calibri" w:hAnsi="Calibri"/>
      <w:b/>
      <w:bCs/>
      <w:color w:val="1A1C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2026-09-07T11:03:05.906Z</dcterms:created>
  <dcterms:modified xsi:type="dcterms:W3CDTF">2026-09-07T11:03:05.906Z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