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6B4E"/>
          <w:sz w:val="18"/>
        </w:rPr>
        <w:t>TCIA / Future Labs</w:t>
      </w:r>
    </w:p>
    <w:p>
      <w:pPr>
        <w:pStyle w:val="Heading1"/>
        <w:jc w:val="left"/>
      </w:pPr>
      <w:r>
        <w:rPr>
          <w:rFonts w:ascii="Calibri" w:hAnsi="Calibri"/>
          <w:color w:val="2E6B4E"/>
          <w:sz w:val="40"/>
        </w:rPr>
        <w:t>Technical Reference (High Detail Level)</w:t>
      </w:r>
    </w:p>
    <w:p>
      <w:pPr>
        <w:spacing w:before="0" w:after="80"/>
      </w:pPr>
      <w:r>
        <w:rPr>
          <w:rFonts w:ascii="Calibri" w:hAnsi="Calibri"/>
          <w:b w:val="0"/>
          <w:i/>
          <w:color w:val="6B7069"/>
          <w:sz w:val="22"/>
        </w:rPr>
        <w:t>For implementers, sysadmins, and anyone setting up or maintaining the infrastructure.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6B7069"/>
          <w:sz w:val="18"/>
        </w:rPr>
        <w:t>Owner: aasim@tciamn.org  ·  Last updated: 2026-09-07</w:t>
      </w:r>
    </w:p>
    <w:p>
      <w:pPr>
        <w:spacing w:before="80" w:after="80"/>
        <w:pBdr>
          <w:bottom w:val="single" w:sz="6" w:space="1" w:color="D4CFC6"/>
        </w:pBdr>
      </w:pPr>
    </w:p>
    <w:p>
      <w:pPr>
        <w:pStyle w:val="Heading2"/>
        <w:jc w:val="left"/>
      </w:pPr>
      <w:r>
        <w:rPr>
          <w:rFonts w:ascii="Calibri" w:hAnsi="Calibri"/>
          <w:color w:val="1A1C18"/>
          <w:sz w:val="28"/>
        </w:rP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592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68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Uptime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99.5% (≈ 44 hrs downtime/yr)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We manage our own failover; not relying on managed HA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RTO — critical services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&lt; 4 hours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Supernote sync, Matrix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RTO — other services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&lt; 24 hours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Static sites, lower-criticality apps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RPO — data loss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&lt; 24 hours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Daily backups satisfy this; Supernote DB target &lt; 4 hrs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Phase 1 cost ceiling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~$20/mo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VPS + two backup destinations + monitoring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Primary data jurisdiction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EU or Switzerland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No US-based primary storage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Admin bus factor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Two people with independent full admin access at all times</w:t>
            </w:r>
          </w:p>
        </w:tc>
      </w:tr>
    </w:tbl>
    <w:p/>
    <w:p>
      <w:pPr>
        <w:spacing w:before="80" w:after="80"/>
        <w:pBdr>
          <w:bottom w:val="single" w:sz="6" w:space="1" w:color="D4CFC6"/>
        </w:pBdr>
      </w:pPr>
    </w:p>
    <w:p>
      <w:pPr>
        <w:pStyle w:val="Heading2"/>
        <w:jc w:val="left"/>
      </w:pPr>
      <w:r>
        <w:rPr>
          <w:rFonts w:ascii="Calibri" w:hAnsi="Calibri"/>
          <w:color w:val="1A1C18"/>
          <w:sz w:val="28"/>
        </w:rPr>
        <w:t>Supernote Private Cloud — Setup</w:t>
      </w:r>
    </w:p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Architecture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Supernote Device (HTTPS)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↓  Nginx Reverse Proxy — SSL termination via Let's Encrypt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↓  Supernote Private Cloud Service — HTTP port 19072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↓  MariaDB + Redis (Docker containers)</w:t>
      </w:r>
    </w:p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Prerequisites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Linux server (Debian/Ubuntu recommended; Synology DSM also supported)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Docker + Docker Compose installed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Domain/subdomain (e.g. cloud.tciamn.org) pointing to server IP — DNS via SiteGround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Port 443 open in server firewall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Minimum 50 GB disk; 2 GB RAM recommended</w:t>
      </w:r>
    </w:p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Setup Checklist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Provision VPS (see provider section)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Point DNS subdomain to server IP (TTL: 300s)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SSH in; install Docker + Docker Compose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Install Nginx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Run Certbot: certbot --nginx -d cloud.tciamn.org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Place Nginx config; reload: nginx -s reload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Pull Supernote Private Cloud Docker Compose from Ratta's official docs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Create .env file with secrets (never commit to git)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Run: docker compose up -d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Open https://cloud.tciamn.org — verify landing page appears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Register an account; point Manta at the new URL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Verify sync works end-to-end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Set up backup jobs (see Backup section)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Set up monitoring alert (UptimeRobot free tier)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Write runbook: how to restore from backup if this server dies</w:t>
      </w:r>
    </w:p>
    <w:p>
      <w:pPr>
        <w:spacing w:before="80" w:after="80"/>
        <w:pBdr>
          <w:bottom w:val="single" w:sz="6" w:space="1" w:color="D4CFC6"/>
        </w:pBdr>
      </w:pPr>
    </w:p>
    <w:p>
      <w:pPr>
        <w:pStyle w:val="Heading2"/>
        <w:jc w:val="left"/>
      </w:pPr>
      <w:r>
        <w:rPr>
          <w:rFonts w:ascii="Calibri" w:hAnsi="Calibri"/>
          <w:color w:val="1A1C18"/>
          <w:sz w:val="28"/>
        </w:rPr>
        <w:t>Provider Assessment</w:t>
      </w:r>
    </w:p>
    <w:p>
      <w:pPr>
        <w:spacing w:before="0" w:after="120"/>
      </w:pPr>
      <w:r>
        <w:rPr>
          <w:rFonts w:ascii="Calibri" w:hAnsi="Calibri"/>
          <w:b w:val="0"/>
          <w:i/>
          <w:color w:val="6B7069"/>
          <w:sz w:val="18"/>
        </w:rPr>
        <w:t>Research date: 2026-09-07</w:t>
      </w:r>
    </w:p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32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Primary VPS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Hetzner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DE/FI/US regions · €6.80/mo (CX32) · 99.9% SLA · Floating IPs · Strong tooling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Secondary / Failover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Infomaniak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Geneva+Zurich CH · ~€5+/mo · 99.99% SLA · Swiss jurisdiction · No geographic overlap with Hetzner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Activist Services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Greenhost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Amsterdam NL · ~€5–22/mo · Renewable energy · Rapid Response Team for political/DDoS threats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Backup (fast restore)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Hetzner Storage Box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BX21: 5 TB / €10.90/mo · Native BorgBackup docs · Unlimited traffic · Not S3-compatible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Backup (offsite archival)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Backblaze B2 EU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$6.95/TB/mo · S3-compatible · EU region · Free egress up to 3× monthly storage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Continuity Layer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May First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TCIA is org member · Nextcloud = backup destination · Email/XMPP = fallback comms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Cooperative Values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IO Cooperative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Fremont CA · $7.19/mo/slice · Genuine member coop · No SLA, no HA — solidarity membership only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Full Provider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16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Regions</w:t>
            </w:r>
          </w:p>
        </w:tc>
        <w:tc>
          <w:tcPr>
            <w:tcW w:type="dxa" w:w="1872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SLA</w:t>
            </w:r>
          </w:p>
        </w:tc>
        <w:tc>
          <w:tcPr>
            <w:tcW w:type="dxa" w:w="216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 Tools</w:t>
            </w:r>
          </w:p>
        </w:tc>
        <w:tc>
          <w:tcPr>
            <w:tcW w:type="dxa" w:w="1296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Min Price</w:t>
            </w:r>
          </w:p>
        </w:tc>
        <w:tc>
          <w:tcPr>
            <w:tcW w:type="dxa" w:w="1296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Coop?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Hetzner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DE, FI, US×2, SG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99.9%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Floating IPs + LB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€3.79/mo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Infomaniak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Geneva + Zurich CH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99.99% (99.999% HA)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HA Cloud Server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~€5/mo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Employee-owned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Greenhost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Amsterdam only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Negotiated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Rapid Response Team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~€5/mo est.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Independent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IO Cooperative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Fremont CA only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None published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$7.19/mo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✓ Member coop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Servers.coop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Framework only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✓ Framework</w:t>
            </w:r>
          </w:p>
        </w:tc>
      </w:tr>
    </w:tbl>
    <w:p/>
    <w:p>
      <w:pPr>
        <w:spacing w:before="80" w:after="80"/>
        <w:pBdr>
          <w:bottom w:val="single" w:sz="6" w:space="1" w:color="D4CFC6"/>
        </w:pBdr>
      </w:pPr>
    </w:p>
    <w:p>
      <w:pPr>
        <w:pStyle w:val="Heading2"/>
        <w:jc w:val="left"/>
      </w:pPr>
      <w:r>
        <w:rPr>
          <w:rFonts w:ascii="Calibri" w:hAnsi="Calibri"/>
          <w:color w:val="1A1C18"/>
          <w:sz w:val="28"/>
        </w:rPr>
        <w:t>Backup Architecture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Never keep backups on the same provider as the primary. Aim for three destinations.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Destination</w:t>
            </w:r>
          </w:p>
        </w:tc>
        <w:tc>
          <w:tcPr>
            <w:tcW w:type="dxa" w:w="1872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44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880"/>
            <w:shd w:val="clear" w:color="auto" w:fill="2E6B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Hetzner Storage Box BX21 (5 TB)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BorgBackup / rsync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€10.90/mo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Fast restore; natively documented; unlimited traffic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Backblaze B2 EU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Restic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$6.95/TB/mo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S3-compatible; provider-diverse; EU region; free egress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May First Nextcloud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Rclone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$0 (org membership)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Third copy; US-based (backup only, not primary)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What to back up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/opt/supernote/          — Docker Compose files + .env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/var/lib/supernote/      — Uploaded files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/var/lib/mysql/          — MariaDB data (or use mysqldump)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/var/lib/matrix/         — Matrix homeserver database + media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/etc/nginx/              — Nginx config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/etc/letsencrypt/        — SSL certificates</w:t>
      </w:r>
    </w:p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Restic + Backblaze B2 — key commands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251F"/>
          <w:sz w:val="18"/>
        </w:rPr>
        <w:t>Initialize:  restic -r b2:BUCKET/backups init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251F"/>
          <w:sz w:val="18"/>
        </w:rPr>
        <w:t>Daily backup:  restic -r b2:BUCKET/backups backup /opt/supernote /var/lib/supernote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251F"/>
          <w:sz w:val="18"/>
        </w:rPr>
        <w:t>Prune:  restic forget --keep-daily 30 --keep-weekly 12 --keep-monthly 12 --prune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251F"/>
          <w:sz w:val="18"/>
        </w:rPr>
        <w:t>Weekly test restore:  restic restore latest --target /tmp/restore-test</w:t>
      </w:r>
    </w:p>
    <w:p>
      <w:pPr>
        <w:spacing w:before="80" w:after="80"/>
        <w:pBdr>
          <w:bottom w:val="single" w:sz="6" w:space="1" w:color="D4CFC6"/>
        </w:pBdr>
      </w:pPr>
    </w:p>
    <w:p>
      <w:pPr>
        <w:pStyle w:val="Heading2"/>
        <w:jc w:val="left"/>
      </w:pPr>
      <w:r>
        <w:rPr>
          <w:rFonts w:ascii="Calibri" w:hAnsi="Calibri"/>
          <w:color w:val="1A1C18"/>
          <w:sz w:val="28"/>
        </w:rPr>
        <w:t>Failover Architecture</w:t>
      </w:r>
    </w:p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Phase 1 — Manual failover runbook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Health check: UptimeRobot (free) monitors https://cloud.tciamn.org every 5 min; alerts on failure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Assess: Is the server down or just the service? SSH in + docker ps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Try: docker compose restart  (resolves most transient failures)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If server unreachable: restore from latest backup to a new VPS; update DNS A record to new IP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DNS TTL is 300s — propagation takes ~5 minutes after the change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Comms fallback: switch team to May First email / XMPP if Matrix is down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Estimated full restore time from backup: 1–3 hours depending on data volume</w:t>
      </w:r>
    </w:p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Phase 2 — Semi-automated failover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Primary: Hetzner CX32 (DE/FI)  ·  Secondary: Infomaniak VPS (Geneva or Zurich)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Mirror critical services on secondary: Supernote sync, Matrix homeserver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Floating IP on Hetzner for fast intra-DC failover (Keepalived)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DNS-level failover for cross-provider: Cloudflare free tier as secondary resolver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Health check script on secondary polls primary; alerts operator if primary down &gt;2 checks</w:t>
      </w:r>
    </w:p>
    <w:p>
      <w:pPr>
        <w:pStyle w:val="Heading3"/>
        <w:jc w:val="left"/>
      </w:pPr>
      <w:r>
        <w:rPr>
          <w:rFonts w:ascii="Calibri" w:hAnsi="Calibri"/>
          <w:color w:val="3D4039"/>
          <w:sz w:val="22"/>
        </w:rPr>
        <w:t>DNS setup (SiteGround)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251F"/>
          <w:sz w:val="18"/>
        </w:rPr>
        <w:t>cloud.tciamn.org  →  A record  →  &lt;primary VPS IP&gt;  →  TTL 300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0"/>
        </w:rPr>
        <w:t>In emergency: update A record to secondary VPS IP. Propagation: ~5 minutes.</w:t>
      </w:r>
    </w:p>
    <w:p>
      <w:pPr>
        <w:spacing w:before="80" w:after="80"/>
        <w:pBdr>
          <w:bottom w:val="single" w:sz="6" w:space="1" w:color="D4CFC6"/>
        </w:pBdr>
      </w:pPr>
    </w:p>
    <w:p>
      <w:pPr>
        <w:pStyle w:val="Heading2"/>
        <w:jc w:val="left"/>
      </w:pPr>
      <w:r>
        <w:rPr>
          <w:rFonts w:ascii="Calibri" w:hAnsi="Calibri"/>
          <w:color w:val="1A1C18"/>
          <w:sz w:val="28"/>
        </w:rPr>
        <w:t>Security Checklist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SSH key auth only — disable password auth (PasswordAuthentication no in sshd_config)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Firewall: allow ports 22, 80, 443 only; block everything else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Automatic security updates: unattended-upgrades package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Fail2ban: block repeated failed SSH attempts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SSL/TLS: Let's Encrypt via Certbot; auto-renew enabled (verify with: certbot renew --dry-run)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.env files never committed to git; use .gitignore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Backup encryption: Restic/BorgBackup encrypt client-side by default; store password securely off-server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Rotate SSH keys and provider account credentials annually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Two admin accounts with independent access (bus factor ≥ 2)</w:t>
      </w:r>
    </w:p>
    <w:p>
      <w:pPr>
        <w:spacing w:before="80" w:after="80"/>
        <w:pBdr>
          <w:bottom w:val="single" w:sz="6" w:space="1" w:color="D4CFC6"/>
        </w:pBdr>
      </w:pPr>
    </w:p>
    <w:p>
      <w:pPr>
        <w:pStyle w:val="Heading2"/>
        <w:jc w:val="left"/>
      </w:pPr>
      <w:r>
        <w:rPr>
          <w:rFonts w:ascii="Calibri" w:hAnsi="Calibri"/>
          <w:color w:val="1A1C18"/>
          <w:sz w:val="28"/>
        </w:rPr>
        <w:t>Governance Requirements (to define)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Who holds admin credentials? (require ≥ 2 named individuals)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Who approves new member orgs joining the infrastructure?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How are monthly costs divided among member orgs?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What is the process when an org wants to leave?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Where is the runbook stored? (assume internet is down during disaster)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☐  Who is the escalation contact for 3am failures?</w:t>
      </w:r>
    </w:p>
    <w:p>
      <w:pPr>
        <w:spacing w:before="80" w:after="80"/>
        <w:pBdr>
          <w:bottom w:val="single" w:sz="6" w:space="1" w:color="D4CFC6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6B7069"/>
          <w:sz w:val="18"/>
        </w:rPr>
        <w:t>Executive summary (non-technical): .claude/projects/ldl-executive-summary.docx  ·  Shareable briefing: claude.ai/code/artifact/89beb9f3-c4b0-4a50-a5e9-42d8b674baaa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