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6B4E"/>
          <w:sz w:val="18"/>
        </w:rPr>
        <w:t>TCIA / Future Labs</w:t>
      </w:r>
    </w:p>
    <w:p>
      <w:pPr>
        <w:pStyle w:val="Heading1"/>
        <w:jc w:val="left"/>
      </w:pPr>
      <w:r>
        <w:rPr>
          <w:rFonts w:ascii="Calibri" w:hAnsi="Calibri"/>
          <w:color w:val="2E6B4E"/>
          <w:sz w:val="40"/>
        </w:rPr>
        <w:t>Cooperative Digital Sovereignty</w:t>
      </w:r>
    </w:p>
    <w:p>
      <w:pPr>
        <w:spacing w:before="0" w:after="80"/>
      </w:pPr>
      <w:r>
        <w:rPr>
          <w:rFonts w:ascii="Calibri" w:hAnsi="Calibri"/>
          <w:b w:val="0"/>
          <w:i/>
          <w:color w:val="6B7069"/>
          <w:sz w:val="22"/>
        </w:rPr>
        <w:t>Executive Summary — for board members, member org leaders, and decision-makers. No technical background assumed.</w:t>
      </w:r>
    </w:p>
    <w:p>
      <w:pPr>
        <w:spacing w:before="0" w:after="240"/>
      </w:pPr>
      <w:r>
        <w:rPr>
          <w:rFonts w:ascii="Calibri" w:hAnsi="Calibri"/>
          <w:b w:val="0"/>
          <w:i w:val="0"/>
          <w:color w:val="6B7069"/>
          <w:sz w:val="18"/>
        </w:rPr>
        <w:t>Owner: aasim@tciamn.org  ·  Last updated: 2026-09-07  ·  TCIA org member of May First</w:t>
      </w:r>
    </w:p>
    <w:p>
      <w:pPr>
        <w:spacing w:before="80" w:after="80"/>
        <w:pBdr>
          <w:bottom w:val="single" w:sz="6" w:space="1" w:color="D4CFC6"/>
        </w:pBdr>
      </w:pPr>
    </w:p>
    <w:p>
      <w:pPr>
        <w:pStyle w:val="Heading2"/>
        <w:jc w:val="left"/>
      </w:pPr>
      <w:r>
        <w:rPr>
          <w:rFonts w:ascii="Calibri" w:hAnsi="Calibri"/>
          <w:color w:val="1A1C18"/>
          <w:sz w:val="28"/>
        </w:rPr>
        <w:t>What is Future Labs?</w:t>
      </w:r>
    </w:p>
    <w:p>
      <w:pPr>
        <w:spacing w:before="0" w:after="120"/>
      </w:pPr>
      <w:r>
        <w:rPr>
          <w:rFonts w:ascii="Calibri" w:hAnsi="Calibri"/>
          <w:b w:val="0"/>
          <w:i w:val="0"/>
          <w:sz w:val="22"/>
        </w:rPr>
        <w:t>Future Labs is TCIA's plan to build its own digital infrastructure — servers, apps, and file storage — that TCIA and its allied organizations control, rather than renting those services from Google, Amazon, or Microsoft.</w:t>
      </w:r>
    </w:p>
    <w:p>
      <w:pPr>
        <w:spacing w:before="0" w:after="120"/>
      </w:pPr>
      <w:r>
        <w:rPr>
          <w:rFonts w:ascii="Calibri" w:hAnsi="Calibri"/>
          <w:b w:val="0"/>
          <w:i w:val="0"/>
          <w:sz w:val="22"/>
        </w:rPr>
        <w:t>Think of it like owning your building instead of renting office space. The monthly cost is similar, but you're not at your landlord's mercy, you set the rules, and your data doesn't belong to a corporation.</w:t>
      </w:r>
    </w:p>
    <w:p>
      <w:pPr>
        <w:spacing w:before="80" w:after="80"/>
        <w:pBdr>
          <w:bottom w:val="single" w:sz="6" w:space="1" w:color="D4CFC6"/>
        </w:pBdr>
      </w:pPr>
    </w:p>
    <w:p>
      <w:pPr>
        <w:pStyle w:val="Heading2"/>
        <w:jc w:val="left"/>
      </w:pPr>
      <w:r>
        <w:rPr>
          <w:rFonts w:ascii="Calibri" w:hAnsi="Calibri"/>
          <w:color w:val="1A1C18"/>
          <w:sz w:val="28"/>
        </w:rPr>
        <w:t>What problem does it solve?</w:t>
      </w:r>
    </w:p>
    <w:p>
      <w:pPr>
        <w:spacing w:before="0" w:after="80"/>
      </w:pPr>
      <w:r>
        <w:rPr>
          <w:rFonts w:ascii="Calibri" w:hAnsi="Calibri"/>
          <w:b w:val="0"/>
          <w:i w:val="0"/>
          <w:sz w:val="22"/>
        </w:rPr>
        <w:t>Right now, TCIA's digital tools depend on corporate platforms:</w:t>
      </w:r>
    </w:p>
    <w:p>
      <w:pPr>
        <w:pStyle w:val="ListBullet"/>
        <w:spacing w:after="60"/>
        <w:ind w:left="360"/>
      </w:pPr>
      <w:r>
        <w:rPr>
          <w:rFonts w:ascii="Calibri" w:hAnsi="Calibri"/>
          <w:sz w:val="22"/>
        </w:rPr>
        <w:t>Files live on Google Drive or Dropbox — companies that profit from your data and can shut off access</w:t>
      </w:r>
    </w:p>
    <w:p>
      <w:pPr>
        <w:pStyle w:val="ListBullet"/>
        <w:spacing w:after="60"/>
        <w:ind w:left="360"/>
      </w:pPr>
      <w:r>
        <w:rPr>
          <w:rFonts w:ascii="Calibri" w:hAnsi="Calibri"/>
          <w:sz w:val="22"/>
        </w:rPr>
        <w:t>Syncing, communication, and backups flow through services TCIA doesn't control</w:t>
      </w:r>
    </w:p>
    <w:p>
      <w:pPr>
        <w:pStyle w:val="ListBullet"/>
        <w:spacing w:after="60"/>
        <w:ind w:left="360"/>
      </w:pPr>
      <w:r>
        <w:rPr>
          <w:rFonts w:ascii="Calibri" w:hAnsi="Calibri"/>
          <w:sz w:val="22"/>
        </w:rPr>
        <w:t>If a platform changes its terms, raises prices, or gets pressured by hostile actors, TCIA has no alternative ready</w:t>
      </w:r>
    </w:p>
    <w:p>
      <w:pPr>
        <w:spacing w:before="120" w:after="120"/>
      </w:pPr>
      <w:r>
        <w:rPr>
          <w:rFonts w:ascii="Calibri" w:hAnsi="Calibri"/>
          <w:b w:val="0"/>
          <w:i w:val="0"/>
          <w:sz w:val="22"/>
        </w:rPr>
        <w:t>Future Labs builds the alternative before it's needed.</w:t>
      </w:r>
    </w:p>
    <w:p>
      <w:pPr>
        <w:spacing w:before="80" w:after="80"/>
        <w:pBdr>
          <w:bottom w:val="single" w:sz="6" w:space="1" w:color="D4CFC6"/>
        </w:pBdr>
      </w:pPr>
    </w:p>
    <w:p>
      <w:pPr>
        <w:pStyle w:val="Heading2"/>
        <w:jc w:val="left"/>
      </w:pPr>
      <w:r>
        <w:rPr>
          <w:rFonts w:ascii="Calibri" w:hAnsi="Calibri"/>
          <w:color w:val="1A1C18"/>
          <w:sz w:val="28"/>
        </w:rPr>
        <w:t>What is the first project?</w:t>
      </w:r>
    </w:p>
    <w:p>
      <w:pPr>
        <w:spacing w:before="0" w:after="80"/>
      </w:pPr>
      <w:r>
        <w:rPr>
          <w:rFonts w:ascii="Calibri" w:hAnsi="Calibri"/>
          <w:b/>
          <w:i w:val="0"/>
          <w:sz w:val="22"/>
        </w:rPr>
        <w:t>Supernote Private Cloud — a self-hosted sync server for Supernote devices (the Manta and others).</w:t>
      </w:r>
    </w:p>
    <w:p>
      <w:pPr>
        <w:spacing w:before="0" w:after="120"/>
      </w:pPr>
      <w:r>
        <w:rPr>
          <w:rFonts w:ascii="Calibri" w:hAnsi="Calibri"/>
          <w:b w:val="0"/>
          <w:i w:val="0"/>
          <w:sz w:val="22"/>
        </w:rPr>
        <w:t>Right now, Supernote devices sync through Supernote's own cloud servers. We want to run our own instead, on hardware TCIA controls. The result looks identical to the user — same sync, same experience — but the data never leaves TCIA's infrastructure.</w:t>
      </w:r>
    </w:p>
    <w:p>
      <w:pPr>
        <w:spacing w:before="0" w:after="120"/>
      </w:pPr>
      <w:r>
        <w:rPr>
          <w:rFonts w:ascii="Calibri" w:hAnsi="Calibri"/>
          <w:b w:val="0"/>
          <w:i w:val="0"/>
          <w:sz w:val="22"/>
        </w:rPr>
        <w:t>This is also the anchor use case for Future Labs. Getting this working proves the infrastructure, establishes the process, and gives us something concrete to govern and maintain before scaling.</w:t>
      </w:r>
    </w:p>
    <w:p>
      <w:pPr>
        <w:spacing w:before="80" w:after="80"/>
        <w:pBdr>
          <w:bottom w:val="single" w:sz="6" w:space="1" w:color="D4CFC6"/>
        </w:pBdr>
      </w:pPr>
    </w:p>
    <w:p>
      <w:pPr>
        <w:pStyle w:val="Heading2"/>
        <w:jc w:val="left"/>
      </w:pPr>
      <w:r>
        <w:rPr>
          <w:rFonts w:ascii="Calibri" w:hAnsi="Calibri"/>
          <w:color w:val="1A1C18"/>
          <w:sz w:val="28"/>
        </w:rPr>
        <w:t>What will it cost?</w:t>
      </w:r>
    </w:p>
    <w:p>
      <w:pPr>
        <w:spacing w:before="0" w:after="120"/>
      </w:pPr>
      <w:r>
        <w:rPr>
          <w:rFonts w:ascii="Calibri" w:hAnsi="Calibri"/>
          <w:b/>
          <w:i w:val="0"/>
          <w:sz w:val="22"/>
        </w:rPr>
        <w:t>Phase 1 (now → 6 months): approximately $15–20 per month</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2E6B4E"/>
          </w:tcPr>
          <w:p>
            <w:r>
              <w:rPr>
                <w:rFonts w:ascii="Calibri" w:hAnsi="Calibri"/>
                <w:b/>
                <w:color w:val="FFFFFF"/>
                <w:sz w:val="20"/>
              </w:rPr>
              <w:t>What</w:t>
            </w:r>
          </w:p>
        </w:tc>
        <w:tc>
          <w:tcPr>
            <w:tcW w:type="dxa" w:w="4032"/>
            <w:shd w:val="clear" w:color="auto" w:fill="2E6B4E"/>
          </w:tcPr>
          <w:p>
            <w:r>
              <w:rPr>
                <w:rFonts w:ascii="Calibri" w:hAnsi="Calibri"/>
                <w:b/>
                <w:color w:val="FFFFFF"/>
                <w:sz w:val="20"/>
              </w:rPr>
              <w:t>Why</w:t>
            </w:r>
          </w:p>
        </w:tc>
        <w:tc>
          <w:tcPr>
            <w:tcW w:type="dxa" w:w="1440"/>
            <w:shd w:val="clear" w:color="auto" w:fill="2E6B4E"/>
          </w:tcPr>
          <w:p>
            <w:r>
              <w:rPr>
                <w:rFonts w:ascii="Calibri" w:hAnsi="Calibri"/>
                <w:b/>
                <w:color w:val="FFFFFF"/>
                <w:sz w:val="20"/>
              </w:rPr>
              <w:t>Cost</w:t>
            </w:r>
          </w:p>
        </w:tc>
      </w:tr>
      <w:tr>
        <w:tc>
          <w:tcPr>
            <w:tcW w:type="dxa" w:w="3168"/>
          </w:tcPr>
          <w:p>
            <w:r>
              <w:rPr>
                <w:rFonts w:ascii="Calibri" w:hAnsi="Calibri"/>
                <w:sz w:val="20"/>
              </w:rPr>
              <w:t>Primary server (VPS in Europe)</w:t>
            </w:r>
          </w:p>
        </w:tc>
        <w:tc>
          <w:tcPr>
            <w:tcW w:type="dxa" w:w="4032"/>
          </w:tcPr>
          <w:p>
            <w:r>
              <w:rPr>
                <w:rFonts w:ascii="Calibri" w:hAnsi="Calibri"/>
                <w:sz w:val="20"/>
              </w:rPr>
              <w:t>Runs the Supernote sync service and Matrix chat</w:t>
            </w:r>
          </w:p>
        </w:tc>
        <w:tc>
          <w:tcPr>
            <w:tcW w:type="dxa" w:w="1440"/>
          </w:tcPr>
          <w:p>
            <w:r>
              <w:rPr>
                <w:rFonts w:ascii="Calibri" w:hAnsi="Calibri"/>
                <w:sz w:val="20"/>
              </w:rPr>
              <w:t>~€7/mo</w:t>
            </w:r>
          </w:p>
        </w:tc>
      </w:tr>
      <w:tr>
        <w:tc>
          <w:tcPr>
            <w:tcW w:type="dxa" w:w="3168"/>
          </w:tcPr>
          <w:p>
            <w:r>
              <w:rPr>
                <w:rFonts w:ascii="Calibri" w:hAnsi="Calibri"/>
                <w:sz w:val="20"/>
              </w:rPr>
              <w:t>Backup storage (two destinations)</w:t>
            </w:r>
          </w:p>
        </w:tc>
        <w:tc>
          <w:tcPr>
            <w:tcW w:type="dxa" w:w="4032"/>
          </w:tcPr>
          <w:p>
            <w:r>
              <w:rPr>
                <w:rFonts w:ascii="Calibri" w:hAnsi="Calibri"/>
                <w:sz w:val="20"/>
              </w:rPr>
              <w:t>Daily backups in case the server fails</w:t>
            </w:r>
          </w:p>
        </w:tc>
        <w:tc>
          <w:tcPr>
            <w:tcW w:type="dxa" w:w="1440"/>
          </w:tcPr>
          <w:p>
            <w:r>
              <w:rPr>
                <w:rFonts w:ascii="Calibri" w:hAnsi="Calibri"/>
                <w:sz w:val="20"/>
              </w:rPr>
              <w:t>~€3–6/mo</w:t>
            </w:r>
          </w:p>
        </w:tc>
      </w:tr>
      <w:tr>
        <w:tc>
          <w:tcPr>
            <w:tcW w:type="dxa" w:w="3168"/>
          </w:tcPr>
          <w:p>
            <w:r>
              <w:rPr>
                <w:rFonts w:ascii="Calibri" w:hAnsi="Calibri"/>
                <w:sz w:val="20"/>
              </w:rPr>
              <w:t>Monitoring + DNS (free tier tools)</w:t>
            </w:r>
          </w:p>
        </w:tc>
        <w:tc>
          <w:tcPr>
            <w:tcW w:type="dxa" w:w="4032"/>
          </w:tcPr>
          <w:p>
            <w:r>
              <w:rPr>
                <w:rFonts w:ascii="Calibri" w:hAnsi="Calibri"/>
                <w:sz w:val="20"/>
              </w:rPr>
              <w:t>Alerts when something goes down</w:t>
            </w:r>
          </w:p>
        </w:tc>
        <w:tc>
          <w:tcPr>
            <w:tcW w:type="dxa" w:w="1440"/>
          </w:tcPr>
          <w:p>
            <w:r>
              <w:rPr>
                <w:rFonts w:ascii="Calibri" w:hAnsi="Calibri"/>
                <w:sz w:val="20"/>
              </w:rPr>
              <w:t>$0</w:t>
            </w:r>
          </w:p>
        </w:tc>
      </w:tr>
    </w:tbl>
    <w:p/>
    <w:p>
      <w:pPr>
        <w:spacing w:before="0" w:after="80"/>
      </w:pPr>
      <w:r>
        <w:rPr>
          <w:rFonts w:ascii="Calibri" w:hAnsi="Calibri"/>
          <w:b w:val="0"/>
          <w:i w:val="0"/>
          <w:sz w:val="22"/>
        </w:rPr>
        <w:t>Phase 2 (6–18 months): add approximately $15–30/month for a second server in a different location, so a single outage doesn't take everything down.</w:t>
      </w:r>
    </w:p>
    <w:p>
      <w:pPr>
        <w:spacing w:before="0" w:after="120"/>
      </w:pPr>
      <w:r>
        <w:rPr>
          <w:rFonts w:ascii="Calibri" w:hAnsi="Calibri"/>
          <w:b w:val="0"/>
          <w:i/>
          <w:color w:val="6B7069"/>
          <w:sz w:val="22"/>
        </w:rPr>
        <w:t>These costs can be shared across member organizations as Future Labs grows.</w:t>
      </w:r>
    </w:p>
    <w:p>
      <w:pPr>
        <w:spacing w:before="80" w:after="80"/>
        <w:pBdr>
          <w:bottom w:val="single" w:sz="6" w:space="1" w:color="D4CFC6"/>
        </w:pBdr>
      </w:pPr>
    </w:p>
    <w:p>
      <w:pPr>
        <w:pStyle w:val="Heading2"/>
        <w:jc w:val="left"/>
      </w:pPr>
      <w:r>
        <w:rPr>
          <w:rFonts w:ascii="Calibri" w:hAnsi="Calibri"/>
          <w:color w:val="1A1C18"/>
          <w:sz w:val="28"/>
        </w:rPr>
        <w:t>What decisions are still needed?</w:t>
      </w:r>
    </w:p>
    <w:p>
      <w:pPr>
        <w:spacing w:before="0" w:after="40"/>
      </w:pPr>
      <w:r>
        <w:rPr>
          <w:rFonts w:ascii="Calibri" w:hAnsi="Calibri"/>
          <w:b/>
          <w:i w:val="0"/>
          <w:sz w:val="22"/>
        </w:rPr>
        <w:t>1.  Which server do we use for Phase 1?</w:t>
      </w:r>
    </w:p>
    <w:p>
      <w:pPr>
        <w:spacing w:before="0" w:after="160"/>
      </w:pPr>
      <w:r>
        <w:rPr>
          <w:rFonts w:ascii="Calibri" w:hAnsi="Calibri"/>
          <w:b w:val="0"/>
          <w:i w:val="0"/>
          <w:sz w:val="22"/>
        </w:rPr>
        <w:t>Options are a rented server in Europe (recommended: Hetzner ~€7/mo in Germany/Finland, or Infomaniak in Switzerland ~€5+/mo with a stronger privacy guarantee) or repurposing existing hardware. See the technical reference for the full comparison.</w:t>
      </w:r>
    </w:p>
    <w:p>
      <w:pPr>
        <w:spacing w:before="0" w:after="40"/>
      </w:pPr>
      <w:r>
        <w:rPr>
          <w:rFonts w:ascii="Calibri" w:hAnsi="Calibri"/>
          <w:b/>
          <w:i w:val="0"/>
          <w:sz w:val="22"/>
        </w:rPr>
        <w:t>2.  What subdomain do we use?</w:t>
      </w:r>
    </w:p>
    <w:p>
      <w:pPr>
        <w:spacing w:before="0" w:after="160"/>
      </w:pPr>
      <w:r>
        <w:rPr>
          <w:rFonts w:ascii="Calibri" w:hAnsi="Calibri"/>
          <w:b w:val="0"/>
          <w:i w:val="0"/>
          <w:sz w:val="22"/>
        </w:rPr>
        <w:t>For example, cloud.tciamn.org. DNS is currently managed through SiteGround and would stay there — we just add one record pointing to the new server.</w:t>
      </w:r>
    </w:p>
    <w:p>
      <w:pPr>
        <w:spacing w:before="0" w:after="40"/>
      </w:pPr>
      <w:r>
        <w:rPr>
          <w:rFonts w:ascii="Calibri" w:hAnsi="Calibri"/>
          <w:b/>
          <w:i w:val="0"/>
          <w:sz w:val="22"/>
        </w:rPr>
        <w:t>3.  What is the governance structure for Future Labs within TCIA?</w:t>
      </w:r>
    </w:p>
    <w:p>
      <w:pPr>
        <w:spacing w:before="0" w:after="160"/>
      </w:pPr>
      <w:r>
        <w:rPr>
          <w:rFonts w:ascii="Calibri" w:hAnsi="Calibri"/>
          <w:b w:val="0"/>
          <w:i w:val="0"/>
          <w:sz w:val="22"/>
        </w:rPr>
        <w:t>Who makes decisions, who has admin access, how are costs shared with member orgs?</w:t>
      </w:r>
    </w:p>
    <w:p>
      <w:pPr>
        <w:spacing w:before="0" w:after="120"/>
      </w:pPr>
      <w:r>
        <w:rPr>
          <w:rFonts w:ascii="Calibri" w:hAnsi="Calibri"/>
          <w:b/>
          <w:i w:val="0"/>
          <w:sz w:val="22"/>
        </w:rPr>
        <w:t>4.  Who are the first 2–3 allied orgs to bring onto the infrastructure?</w:t>
      </w:r>
    </w:p>
    <w:p>
      <w:pPr>
        <w:spacing w:before="80" w:after="80"/>
        <w:pBdr>
          <w:bottom w:val="single" w:sz="6" w:space="1" w:color="D4CFC6"/>
        </w:pBdr>
      </w:pPr>
    </w:p>
    <w:p>
      <w:pPr>
        <w:pStyle w:val="Heading2"/>
        <w:jc w:val="left"/>
      </w:pPr>
      <w:r>
        <w:rPr>
          <w:rFonts w:ascii="Calibri" w:hAnsi="Calibri"/>
          <w:color w:val="1A1C18"/>
          <w:sz w:val="28"/>
        </w:rPr>
        <w:t>What is the relationship with May First?</w:t>
      </w:r>
    </w:p>
    <w:p>
      <w:pPr>
        <w:spacing w:before="0" w:after="120"/>
      </w:pPr>
      <w:r>
        <w:rPr>
          <w:rFonts w:ascii="Calibri" w:hAnsi="Calibri"/>
          <w:b w:val="0"/>
          <w:i w:val="0"/>
          <w:sz w:val="22"/>
        </w:rPr>
        <w:t>TCIA is already an org member of May First Movement Technology. May First is not the hosting solution for this project — TCIA is building its own infrastructure.</w:t>
      </w:r>
    </w:p>
    <w:p>
      <w:pPr>
        <w:spacing w:before="0" w:after="120"/>
      </w:pPr>
      <w:r>
        <w:rPr>
          <w:rFonts w:ascii="Calibri" w:hAnsi="Calibri"/>
          <w:b w:val="0"/>
          <w:i w:val="0"/>
          <w:sz w:val="22"/>
        </w:rPr>
        <w:t>May First's role in this stack is continuity: if Future Labs services go down, May First's tools (Nextcloud storage, email, XMPP chat) provide a fallback. Think of it as a backup communications channel and a third copy of important files — not the primary system.</w:t>
      </w:r>
    </w:p>
    <w:p>
      <w:pPr>
        <w:spacing w:before="80" w:after="80"/>
        <w:pBdr>
          <w:bottom w:val="single" w:sz="6" w:space="1" w:color="D4CFC6"/>
        </w:pBdr>
      </w:pPr>
    </w:p>
    <w:p>
      <w:pPr>
        <w:pStyle w:val="Heading2"/>
        <w:jc w:val="left"/>
      </w:pPr>
      <w:r>
        <w:rPr>
          <w:rFonts w:ascii="Calibri" w:hAnsi="Calibri"/>
          <w:color w:val="1A1C18"/>
          <w:sz w:val="28"/>
        </w:rPr>
        <w:t>Long-term vision</w:t>
      </w:r>
    </w:p>
    <w:tbl>
      <w:tblPr>
        <w:tblStyle w:val="TableGrid"/>
        <w:tblW w:type="auto" w:w="0"/>
        <w:tblLook w:firstColumn="1" w:firstRow="1" w:lastColumn="0" w:lastRow="0" w:noHBand="0" w:noVBand="1" w:val="04A0"/>
      </w:tblPr>
      <w:tblGrid>
        <w:gridCol w:w="2880"/>
        <w:gridCol w:w="2880"/>
        <w:gridCol w:w="2880"/>
      </w:tblGrid>
      <w:tr>
        <w:tc>
          <w:tcPr>
            <w:tcW w:type="dxa" w:w="1440"/>
            <w:shd w:val="clear" w:color="auto" w:fill="2E6B4E"/>
          </w:tcPr>
          <w:p>
            <w:r>
              <w:rPr>
                <w:rFonts w:ascii="Calibri" w:hAnsi="Calibri"/>
                <w:b/>
                <w:color w:val="FFFFFF"/>
                <w:sz w:val="20"/>
              </w:rPr>
              <w:t>Phase</w:t>
            </w:r>
          </w:p>
        </w:tc>
        <w:tc>
          <w:tcPr>
            <w:tcW w:type="dxa" w:w="2016"/>
            <w:shd w:val="clear" w:color="auto" w:fill="2E6B4E"/>
          </w:tcPr>
          <w:p>
            <w:r>
              <w:rPr>
                <w:rFonts w:ascii="Calibri" w:hAnsi="Calibri"/>
                <w:b/>
                <w:color w:val="FFFFFF"/>
                <w:sz w:val="20"/>
              </w:rPr>
              <w:t>Window</w:t>
            </w:r>
          </w:p>
        </w:tc>
        <w:tc>
          <w:tcPr>
            <w:tcW w:type="dxa" w:w="5184"/>
            <w:shd w:val="clear" w:color="auto" w:fill="2E6B4E"/>
          </w:tcPr>
          <w:p>
            <w:r>
              <w:rPr>
                <w:rFonts w:ascii="Calibri" w:hAnsi="Calibri"/>
                <w:b/>
                <w:color w:val="FFFFFF"/>
                <w:sz w:val="20"/>
              </w:rPr>
              <w:t>Key milestone</w:t>
            </w:r>
          </w:p>
        </w:tc>
      </w:tr>
      <w:tr>
        <w:tc>
          <w:tcPr>
            <w:tcW w:type="dxa" w:w="1440"/>
          </w:tcPr>
          <w:p>
            <w:r>
              <w:rPr>
                <w:rFonts w:ascii="Calibri" w:hAnsi="Calibri"/>
                <w:sz w:val="20"/>
              </w:rPr>
              <w:t>Phase 1</w:t>
            </w:r>
          </w:p>
        </w:tc>
        <w:tc>
          <w:tcPr>
            <w:tcW w:type="dxa" w:w="2016"/>
          </w:tcPr>
          <w:p>
            <w:r>
              <w:rPr>
                <w:rFonts w:ascii="Calibri" w:hAnsi="Calibri"/>
                <w:sz w:val="20"/>
              </w:rPr>
              <w:t>Now → 6 months</w:t>
            </w:r>
          </w:p>
        </w:tc>
        <w:tc>
          <w:tcPr>
            <w:tcW w:type="dxa" w:w="5184"/>
          </w:tcPr>
          <w:p>
            <w:r>
              <w:rPr>
                <w:rFonts w:ascii="Calibri" w:hAnsi="Calibri"/>
                <w:sz w:val="20"/>
              </w:rPr>
              <w:t>Supernote Private Cloud running; Matrix deployed; backups tested</w:t>
            </w:r>
          </w:p>
        </w:tc>
      </w:tr>
      <w:tr>
        <w:tc>
          <w:tcPr>
            <w:tcW w:type="dxa" w:w="1440"/>
          </w:tcPr>
          <w:p>
            <w:r>
              <w:rPr>
                <w:rFonts w:ascii="Calibri" w:hAnsi="Calibri"/>
                <w:sz w:val="20"/>
              </w:rPr>
              <w:t>Phase 2</w:t>
            </w:r>
          </w:p>
        </w:tc>
        <w:tc>
          <w:tcPr>
            <w:tcW w:type="dxa" w:w="2016"/>
          </w:tcPr>
          <w:p>
            <w:r>
              <w:rPr>
                <w:rFonts w:ascii="Calibri" w:hAnsi="Calibri"/>
                <w:sz w:val="20"/>
              </w:rPr>
              <w:t>6–18 months</w:t>
            </w:r>
          </w:p>
        </w:tc>
        <w:tc>
          <w:tcPr>
            <w:tcW w:type="dxa" w:w="5184"/>
          </w:tcPr>
          <w:p>
            <w:r>
              <w:rPr>
                <w:rFonts w:ascii="Calibri" w:hAnsi="Calibri"/>
                <w:sz w:val="20"/>
              </w:rPr>
              <w:t>Second server; first allied orgs onboarded; cost-sharing model defined</w:t>
            </w:r>
          </w:p>
        </w:tc>
      </w:tr>
      <w:tr>
        <w:tc>
          <w:tcPr>
            <w:tcW w:type="dxa" w:w="1440"/>
          </w:tcPr>
          <w:p>
            <w:r>
              <w:rPr>
                <w:rFonts w:ascii="Calibri" w:hAnsi="Calibri"/>
                <w:sz w:val="20"/>
              </w:rPr>
              <w:t>Phase 3</w:t>
            </w:r>
          </w:p>
        </w:tc>
        <w:tc>
          <w:tcPr>
            <w:tcW w:type="dxa" w:w="2016"/>
          </w:tcPr>
          <w:p>
            <w:r>
              <w:rPr>
                <w:rFonts w:ascii="Calibri" w:hAnsi="Calibri"/>
                <w:sz w:val="20"/>
              </w:rPr>
              <w:t>18 months+</w:t>
            </w:r>
          </w:p>
        </w:tc>
        <w:tc>
          <w:tcPr>
            <w:tcW w:type="dxa" w:w="5184"/>
          </w:tcPr>
          <w:p>
            <w:r>
              <w:rPr>
                <w:rFonts w:ascii="Calibri" w:hAnsi="Calibri"/>
                <w:sz w:val="20"/>
              </w:rPr>
              <w:t>Owned hardware; formal cooperative entity if appropriate</w:t>
            </w:r>
          </w:p>
        </w:tc>
      </w:tr>
      <w:tr>
        <w:tc>
          <w:tcPr>
            <w:tcW w:type="dxa" w:w="1440"/>
          </w:tcPr>
          <w:p>
            <w:r>
              <w:rPr>
                <w:rFonts w:ascii="Calibri" w:hAnsi="Calibri"/>
                <w:sz w:val="20"/>
              </w:rPr>
              <w:t>Phase 4</w:t>
            </w:r>
          </w:p>
        </w:tc>
        <w:tc>
          <w:tcPr>
            <w:tcW w:type="dxa" w:w="2016"/>
          </w:tcPr>
          <w:p>
            <w:r>
              <w:rPr>
                <w:rFonts w:ascii="Calibri" w:hAnsi="Calibri"/>
                <w:sz w:val="20"/>
              </w:rPr>
              <w:t>Long term</w:t>
            </w:r>
          </w:p>
        </w:tc>
        <w:tc>
          <w:tcPr>
            <w:tcW w:type="dxa" w:w="5184"/>
          </w:tcPr>
          <w:p>
            <w:r>
              <w:rPr>
                <w:rFonts w:ascii="Calibri" w:hAnsi="Calibri"/>
                <w:sz w:val="20"/>
              </w:rPr>
              <w:t>Distributed infrastructure (Holochain) — no central servers required</w:t>
            </w:r>
          </w:p>
        </w:tc>
      </w:tr>
    </w:tbl>
    <w:p/>
    <w:p>
      <w:pPr>
        <w:spacing w:before="80" w:after="80"/>
        <w:pBdr>
          <w:bottom w:val="single" w:sz="6" w:space="1" w:color="D4CFC6"/>
        </w:pBdr>
      </w:pPr>
    </w:p>
    <w:p>
      <w:pPr>
        <w:spacing w:before="0" w:after="80"/>
      </w:pPr>
      <w:r>
        <w:rPr>
          <w:rFonts w:ascii="Calibri" w:hAnsi="Calibri"/>
          <w:b w:val="0"/>
          <w:i w:val="0"/>
          <w:color w:val="6B7069"/>
          <w:sz w:val="18"/>
        </w:rPr>
        <w:t>Full technical details: .claude/projects/hdl-technical-reference.md  ·  Shareable briefing: claude.ai/code/artifact/89beb9f3-c4b0-4a50-a5e9-42d8b674baaa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