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aps/>
          <w:color w:val="2E6B4E"/>
          <w:spacing w:val="120"/>
          <w:sz w:val="16"/>
          <w:szCs w:val="16"/>
        </w:rPr>
        <w:t xml:space="preserve">TCIA / Future Labs · Workflow Reference · BDD + Git + Deploy</w:t>
      </w:r>
    </w:p>
    <w:p>
      <w:pPr>
        <w:pStyle w:val="Heading1"/>
        <w:spacing w:after="160" w:before="0"/>
      </w:pPr>
      <w:r>
        <w:t xml:space="preserve">Data Center Impact Tool</w:t>
      </w:r>
    </w:p>
    <w:p>
      <w:pPr>
        <w:spacing w:after="200" w:before="0"/>
      </w:pPr>
      <w:r>
        <w:rPr>
          <w:i/>
          <w:iCs/>
          <w:color w:val="3D4039"/>
          <w:sz w:val="24"/>
          <w:szCs w:val="24"/>
        </w:rPr>
        <w:t xml:space="preserve">Development Workflow: Git Conventions, BDD Issues, Data Sync, and Deployment Pipeline</w:t>
      </w:r>
    </w:p>
    <w:p>
      <w:pPr>
        <w:spacing w:after="400" w:before="0"/>
      </w:pPr>
      <w:r>
        <w:rPr>
          <w:b/>
          <w:bCs/>
          <w:color w:val="6B7069"/>
          <w:sz w:val="20"/>
          <w:szCs w:val="20"/>
        </w:rPr>
        <w:t xml:space="preserve">Owner: </w:t>
      </w:r>
      <w:r>
        <w:rPr>
          <w:color w:val="6B7069"/>
          <w:sz w:val="20"/>
          <w:szCs w:val="20"/>
        </w:rPr>
        <w:t xml:space="preserve">aasim@tciamn.org</w:t>
      </w:r>
      <w:r>
        <w:rPr>
          <w:b/>
          <w:bCs/>
          <w:color w:val="6B7069"/>
          <w:sz w:val="20"/>
          <w:szCs w:val="20"/>
        </w:rPr>
        <w:t xml:space="preserve">   ·   Updated: </w:t>
      </w:r>
      <w:r>
        <w:rPr>
          <w:color w:val="6B7069"/>
          <w:sz w:val="20"/>
          <w:szCs w:val="20"/>
        </w:rPr>
        <w:t xml:space="preserve">2026-09-07</w:t>
      </w:r>
    </w:p>
    <w:p>
      <w:pPr>
        <w:pBdr>
          <w:bottom w:val="single" w:color="D4CFC6" w:sz="6"/>
        </w:pBdr>
        <w:spacing w:after="320" w:before="320"/>
      </w:pPr>
    </w:p>
    <w:p>
      <w:pPr>
        <w:pStyle w:val="Heading2"/>
        <w:spacing w:after="120" w:before="480"/>
      </w:pPr>
      <w:r>
        <w:t xml:space="preserve">Guiding Principles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Review first, reduce tech debt later — never skip QA to ship faster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Do not act before direction is confirmed — wait for guidance on decisions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Never commit .env files, API keys, server IPs, or credentials to any branch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Data sovereignty: primary data in EU or CH jurisdiction — no US-only storage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Version control everything that matters — including these documents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Admin bus factor &gt;= 2 — two named individuals hold independent full access at all times</w:t>
      </w:r>
    </w:p>
    <w:p>
      <w:pPr>
        <w:pStyle w:val="Heading2"/>
        <w:spacing w:after="120" w:before="480"/>
      </w:pPr>
      <w:r>
        <w:t xml:space="preserve">Git Branch Conventions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All active work follows the pattern below. The main branch is the stable state. Feature and fix work happens on named branches.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Branch type</w:t>
            </w:r>
          </w:p>
        </w:tc>
        <w:tc>
          <w:tcPr>
            <w:tcW w:type="dxa" w:w="36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Naming pattern</w:t>
            </w:r>
          </w:p>
        </w:tc>
        <w:tc>
          <w:tcPr>
            <w:tcW w:type="dxa" w:w="336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Claude working branch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claude/&lt;purpose&gt;-&lt;id&gt;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claude/squarespace-page-config-yydjup</w:t>
            </w:r>
          </w:p>
        </w:tc>
      </w:tr>
      <w:tr>
        <w:tc>
          <w:tcPr>
            <w:tcW w:type="dxa" w:w="2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Feature branch</w:t>
            </w:r>
          </w:p>
        </w:tc>
        <w:tc>
          <w:tcPr>
            <w:tcW w:type="dxa" w:w="36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feature/&lt;short-name&gt;</w:t>
            </w:r>
          </w:p>
        </w:tc>
        <w:tc>
          <w:tcPr>
            <w:tcW w:type="dxa" w:w="33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feature/validation-checklist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Fix branch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fix/&lt;short-name&gt;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fix/closing-tags</w:t>
            </w:r>
          </w:p>
        </w:tc>
      </w:tr>
      <w:tr>
        <w:tc>
          <w:tcPr>
            <w:tcW w:type="dxa" w:w="24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Docs branch</w:t>
            </w:r>
          </w:p>
        </w:tc>
        <w:tc>
          <w:tcPr>
            <w:tcW w:type="dxa" w:w="36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docs/&lt;short-name&gt;</w:t>
            </w:r>
          </w:p>
        </w:tc>
        <w:tc>
          <w:tcPr>
            <w:tcW w:type="dxa" w:w="33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docs/hdl-ldl-workflow</w:t>
            </w:r>
          </w:p>
        </w:tc>
      </w:tr>
    </w:tbl>
    <w:p>
      <w:pPr>
        <w:pStyle w:val="Heading3"/>
        <w:spacing w:after="80" w:before="280"/>
      </w:pPr>
      <w:r>
        <w:t xml:space="preserve">Daily Git Routine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git fetch origin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git checkout -b feature/&lt;name&gt; origin/main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# ... do work ...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git add &lt;specific files&gt;   # never git add -A blindly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git status                  # review what is staged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git commit -m "feat: short description"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git push -u origin feature/&lt;name&gt;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shd w:fill="FDF3E0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shd w:fill="FD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87418"/>
                <w:sz w:val="22"/>
                <w:szCs w:val="22"/>
              </w:rPr>
              <w:t xml:space="preserve">Never: </w:t>
            </w:r>
            <w:r>
              <w:rPr>
                <w:color w:val="1A1C18"/>
                <w:sz w:val="22"/>
                <w:szCs w:val="22"/>
              </w:rPr>
              <w:t xml:space="preserve">git add -A without reviewing git status first. A .env file accidentally staged will be in the history permanently.</w:t>
            </w:r>
          </w:p>
        </w:tc>
      </w:tr>
    </w:tbl>
    <w:p>
      <w:pPr>
        <w:pStyle w:val="Heading2"/>
        <w:spacing w:after="120" w:before="480"/>
      </w:pPr>
      <w:r>
        <w:t xml:space="preserve">GitHub Issues — BDD Format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All GitHub Issues follow Behavior-Driven Development (BDD) format. This aligns issue language with acceptance tests and makes done criteria unambiguous.</w:t>
      </w:r>
    </w:p>
    <w:p>
      <w:pPr>
        <w:pStyle w:val="Heading3"/>
        <w:spacing w:after="80" w:before="280"/>
      </w:pPr>
      <w:r>
        <w:t xml:space="preserve">Issue Template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## User Story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As a [role], I want [feature], so that [outcome].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## Acceptance Criteria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Given [starting state]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When [action taken]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Then [expected outcome]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And [additional condition]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## Definition of Done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- [ ] Acceptance criteria pass in browser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- [ ] No console errors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- [ ] Code reviewed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- [ ] Committed to correct branch</w:t>
      </w:r>
    </w:p>
    <w:p>
      <w:pPr>
        <w:pStyle w:val="Heading3"/>
        <w:spacing w:after="80" w:before="280"/>
      </w:pPr>
      <w:r>
        <w:t xml:space="preserve">Example — Validation Issue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## User Story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As aasim@tciamn.org, I want to validate the Data Center Impact Tool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against live data so that I can confirm it is correct before deployment.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## Acceptance Criteria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Given I have set VITE_GOOGLE_SHEETS_API_KEY in .env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When I run npm run dev and open the tool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Then the tool loads without console errors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Given I select Minnesota from the state dropdown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When the data loads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Then the impact numbers match the source spreadsheet by hand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 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Given I disable the API key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When I reload the tool</w:t>
      </w:r>
    </w:p>
    <w:p>
      <w:pPr>
        <w:spacing w:after="30" w:before="30"/>
        <w:ind w:left="576"/>
      </w:pPr>
      <w:r>
        <w:rPr>
          <w:rFonts w:ascii="Courier New" w:cs="Courier New" w:eastAsia="Courier New" w:hAnsi="Courier New"/>
          <w:color w:val="1A1C18"/>
          <w:sz w:val="18"/>
          <w:szCs w:val="18"/>
        </w:rPr>
        <w:t xml:space="preserve">Then the fallback data loads for the 30 supported states</w:t>
      </w:r>
    </w:p>
    <w:p>
      <w:pPr>
        <w:pStyle w:val="Heading2"/>
        <w:spacing w:after="120" w:before="480"/>
      </w:pPr>
      <w:r>
        <w:t xml:space="preserve">Project Management — Three Layers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TCIA uses three tools at different granularity levels. They do not duplicate each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Scope</w:t>
            </w:r>
          </w:p>
        </w:tc>
        <w:tc>
          <w:tcPr>
            <w:tcW w:type="dxa" w:w="516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GitHub Issues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Code-linked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BDD acceptance criteria, code traceability, sprint items with PR links</w:t>
            </w:r>
          </w:p>
        </w:tc>
      </w:tr>
      <w:tr>
        <w:tc>
          <w:tcPr>
            <w:tcW w:type="dxa" w:w="22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Jira</w:t>
            </w:r>
          </w:p>
        </w:tc>
        <w:tc>
          <w:tcPr>
            <w:tcW w:type="dxa" w:w="2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Team epics</w:t>
            </w:r>
          </w:p>
        </w:tc>
        <w:tc>
          <w:tcPr>
            <w:tcW w:type="dxa" w:w="51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Sprint planning, capacity, cross-team dependencies, roadmap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Todoist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Personal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Daily reminders, personal task queue, things only aasim tracks</w:t>
            </w:r>
          </w:p>
        </w:tc>
      </w:tr>
    </w:tbl>
    <w:p>
      <w:pPr>
        <w:pStyle w:val="Heading2"/>
        <w:spacing w:after="120" w:before="480"/>
      </w:pPr>
      <w:r>
        <w:t xml:space="preserve">Data Sync Workflow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The tool uses a two-layer data strategy. The live Google Sheets feed is the source of truth. The fallback JSON is the safety net.</w:t>
      </w:r>
    </w:p>
    <w:p>
      <w:pPr>
        <w:pStyle w:val="Heading3"/>
        <w:spacing w:after="80" w:before="280"/>
      </w:pPr>
      <w:r>
        <w:t xml:space="preserve">Live Feed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Source: Google Sheets (FracTracker Alliance / IM3 research data)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Access: Google Sheets API v4 via VITE_GOOGLE_SHEETS_API_KEY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Trigger: fetched client-side on every tool load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Covers: all 50 US states + 2,820 data center records</w:t>
      </w:r>
    </w:p>
    <w:p>
      <w:pPr>
        <w:pStyle w:val="Heading3"/>
        <w:spacing w:after="80" w:before="280"/>
      </w:pPr>
      <w:r>
        <w:t xml:space="preserve">Fallback Feed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Source: data/fallback.json in the repository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Trigger: activated automatically if the Google Sheets API call fails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Covers: 30 US states (subset of full dataset)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Updated manually when the live sheet changes significantly</w:t>
      </w:r>
    </w:p>
    <w:p>
      <w:pPr>
        <w:pStyle w:val="Heading3"/>
        <w:spacing w:after="80" w:before="280"/>
      </w:pPr>
      <w:r>
        <w:t xml:space="preserve">GitHub Actions — Automated Sync (future)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A GitHub Actions workflow (.github/workflows/sync-data.yml) is scaffolded to fetch updated data from the live sheet and commit it to fallback.json on a schedule. This is not yet active — it runs after the tool is validated and deployed.</w:t>
      </w:r>
    </w:p>
    <w:p>
      <w:pPr>
        <w:pStyle w:val="Heading2"/>
        <w:spacing w:after="120" w:before="480"/>
      </w:pPr>
      <w:r>
        <w:t xml:space="preserve">Deployment Pipeline</w:t>
      </w:r>
    </w:p>
    <w:p>
      <w:pPr>
        <w:spacing w:after="120" w:before="80"/>
        <w:jc w:val="both"/>
      </w:pPr>
      <w:r>
        <w:rPr>
          <w:color w:val="1A1C18"/>
          <w:sz w:val="22"/>
          <w:szCs w:val="22"/>
        </w:rPr>
        <w:t xml:space="preserve">After initial Netlify setup (see HDL document), the deployment pipeline is fully automatic.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Event</w:t>
            </w:r>
          </w:p>
        </w:tc>
        <w:tc>
          <w:tcPr>
            <w:tcW w:type="dxa" w:w="456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000"/>
            <w:shd w:fill="EA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B4E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detects the push and starts a new build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8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Build runs</w:t>
            </w:r>
          </w:p>
        </w:tc>
        <w:tc>
          <w:tcPr>
            <w:tcW w:type="dxa" w:w="4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npm run build compiles React app to dist/</w:t>
            </w:r>
          </w:p>
        </w:tc>
        <w:tc>
          <w:tcPr>
            <w:tcW w:type="dxa" w:w="2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~60 seconds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Deploy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serves the new dist/ at the subdomain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After build</w:t>
            </w:r>
          </w:p>
        </w:tc>
      </w:tr>
      <w:tr>
        <w:tc>
          <w:tcPr>
            <w:tcW w:type="dxa" w:w="28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Cache invalidation</w:t>
            </w:r>
          </w:p>
        </w:tc>
        <w:tc>
          <w:tcPr>
            <w:tcW w:type="dxa" w:w="45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Netlify automatically purges CDN cache</w:t>
            </w:r>
          </w:p>
        </w:tc>
        <w:tc>
          <w:tcPr>
            <w:tcW w:type="dxa" w:w="2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Rollback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Previous deploy is one click in Netlify UI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C18"/>
                <w:sz w:val="20"/>
                <w:szCs w:val="20"/>
              </w:rPr>
              <w:t xml:space="preserve">Instant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shd w:fill="EAF3EE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shd w:fill="EA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6B4E"/>
                <w:sz w:val="22"/>
                <w:szCs w:val="22"/>
              </w:rPr>
              <w:t xml:space="preserve">Convention: </w:t>
            </w:r>
            <w:r>
              <w:rPr>
                <w:color w:val="1A1C18"/>
                <w:sz w:val="22"/>
                <w:szCs w:val="22"/>
              </w:rPr>
              <w:t xml:space="preserve">Only push to main when validation has passed locally. The main branch is always the version that can be deployed. Experimental work stays on feature branches.</w:t>
            </w:r>
          </w:p>
        </w:tc>
      </w:tr>
    </w:tbl>
    <w:p>
      <w:pPr>
        <w:pStyle w:val="Heading2"/>
        <w:spacing w:after="120" w:before="480"/>
      </w:pPr>
      <w:r>
        <w:t xml:space="preserve">QA Checklist — Before Any Merge to Main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npm run build passes with no errors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npm run preview — test the production build locally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Open in Chrome and Firefox — confirm no layout breaks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Check browser console for errors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Test with API key disabled — confirm fallback activates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Test on mobile viewport (375px) — confirm responsive layout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git status — confirm no .env or credentials are staged</w:t>
      </w:r>
    </w:p>
    <w:p>
      <w:pPr>
        <w:spacing w:after="60" w:before="60"/>
        <w:ind w:left="431" w:hanging="288"/>
      </w:pPr>
      <w:r>
        <w:rPr>
          <w:color w:val="1A1C18"/>
          <w:sz w:val="22"/>
          <w:szCs w:val="22"/>
        </w:rPr>
        <w:t xml:space="preserve">git diff — read your own changes before committing</w:t>
      </w:r>
    </w:p>
    <w:p>
      <w:pPr>
        <w:pBdr>
          <w:bottom w:val="single" w:color="D4CFC6" w:sz="6"/>
        </w:pBdr>
        <w:spacing w:after="320" w:before="320"/>
      </w:pPr>
    </w:p>
    <w:p>
      <w:pPr>
        <w:spacing w:before="400"/>
        <w:jc w:val="center"/>
      </w:pPr>
      <w:r>
        <w:rPr>
          <w:color w:val="6B7069"/>
          <w:sz w:val="18"/>
          <w:szCs w:val="18"/>
        </w:rPr>
        <w:t xml:space="preserve">TCIA / Future Labs · tciamn/Darkcenter · docs/workflow-data-center-tool.docx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0"/>
    </w:pPr>
    <w:rPr>
      <w:rFonts w:ascii="Calibri" w:cs="Calibri" w:eastAsia="Calibri" w:hAnsi="Calibri"/>
      <w:b/>
      <w:bCs/>
      <w:color w:val="1A1C18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480"/>
    </w:pPr>
    <w:rPr>
      <w:rFonts w:ascii="Calibri" w:cs="Calibri" w:eastAsia="Calibri" w:hAnsi="Calibri"/>
      <w:b/>
      <w:bCs/>
      <w:color w:val="2E6B4E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80"/>
    </w:pPr>
    <w:rPr>
      <w:rFonts w:ascii="Calibri" w:cs="Calibri" w:eastAsia="Calibri" w:hAnsi="Calibri"/>
      <w:b/>
      <w:bCs/>
      <w:color w:val="1A1C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2026-09-07T11:04:15.207Z</dcterms:created>
  <dcterms:modified xsi:type="dcterms:W3CDTF">2026-09-07T11:04:15.207Z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