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采购结算操作说明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余栏拆单操作说明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生产确认后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，在【入场登记管理】模块中进行拆单操作，选择将进行拆单标识号的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任意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一条明细，点击拆单按钮，系统根据收购数量与屠宰生产确认数量进行自动拆单。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注：拆单操作必须在该标识号余栏部分送宰前完成，否则余栏部分送宰后无法拆单。如已经送宰，需将余栏部分送宰退回，再进行拆单。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4785" cy="138493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采购结算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待结算磅单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【日期】待结算磅单查询日期为供货日期，如图所示，15号进行结算的数据包括14号余栏及15号供货数据，所以日期区间14-15，如无余栏日期区间15-15。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【价格分组】勾选客户，右键修改勾选客户的价格分组。选择客户执行的价格分组。所有客户价格分组选择完成后，点击生成结算数据按钮生成结算数据。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4785" cy="24409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未审核结算单编辑，进行单据编辑，调整金额，扣项等。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6055" cy="2860675"/>
            <wp:effectExtent l="0" t="0" r="1079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已审核结算单，已审核结算单可以进行外购入库单导入K3，点击导出按钮，选择金蝶K3（银祥肉业）。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3677920"/>
            <wp:effectExtent l="0" t="0" r="762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sz w:val="28"/>
          <w:szCs w:val="28"/>
          <w:highlight w:val="red"/>
          <w:lang w:eastAsia="zh-CN"/>
        </w:rPr>
        <w:t>如果出现下图提示，说明对应的单据已经进行过导入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K3操作，请确定原来导入K3的单据是否已经处理，防止重复。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190365" cy="18478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5D68"/>
    <w:multiLevelType w:val="singleLevel"/>
    <w:tmpl w:val="35315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045B8E"/>
    <w:multiLevelType w:val="singleLevel"/>
    <w:tmpl w:val="72045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E678B"/>
    <w:rsid w:val="1D9C386E"/>
    <w:rsid w:val="1F327ABA"/>
    <w:rsid w:val="432F4977"/>
    <w:rsid w:val="6D535020"/>
    <w:rsid w:val="78DF36EC"/>
    <w:rsid w:val="7915603D"/>
    <w:rsid w:val="7C0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tLeast"/>
      <w:ind w:left="840" w:leftChars="400"/>
      <w:jc w:val="both"/>
      <w:outlineLvl w:val="3"/>
    </w:pPr>
    <w:rPr>
      <w:rFonts w:ascii="Arial" w:hAnsi="Arial" w:eastAsia="仿宋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2018-06-19T06:12:00Z</dcterms:created>
  <dc:creator>二十啷铛岁，而今幡然醒悟</dc:creator>
  <cp:lastModifiedBy>二十啷铛岁，而今幡然醒悟</cp:lastModifiedBy>
  <dcterms:modified xsi:type="dcterms:W3CDTF">2018-07-12T02:14:19Z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