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代宰业务</w:t>
      </w:r>
      <w:bookmarkStart w:id="0" w:name="_GoBack"/>
      <w:bookmarkEnd w:id="0"/>
      <w:r>
        <w:rPr>
          <w:rFonts w:hint="eastAsia"/>
          <w:sz w:val="30"/>
          <w:szCs w:val="30"/>
          <w:lang w:eastAsia="zh-CN"/>
        </w:rPr>
        <w:t>设置及操作说明</w:t>
      </w:r>
    </w:p>
    <w:p>
      <w:p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一</w:t>
      </w:r>
      <w:r>
        <w:rPr>
          <w:rFonts w:hint="eastAsia"/>
          <w:sz w:val="30"/>
          <w:szCs w:val="30"/>
          <w:lang w:val="en-US" w:eastAsia="zh-CN"/>
        </w:rPr>
        <w:t xml:space="preserve"> 代宰设置</w:t>
      </w:r>
    </w:p>
    <w:p>
      <w:pPr>
        <w:numPr>
          <w:ilvl w:val="0"/>
          <w:numId w:val="1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是否启用信用控制：系统参数【7023】，同时需K3客户资料启用信用控制，设置信用额度。</w:t>
      </w:r>
    </w:p>
    <w:p>
      <w:pPr>
        <w:numPr>
          <w:ilvl w:val="0"/>
          <w:numId w:val="1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接口链接设置：接口链接设置，肉业公司账套。</w:t>
      </w:r>
      <w:r>
        <w:drawing>
          <wp:inline distT="0" distB="0" distL="114300" distR="114300">
            <wp:extent cx="5270500" cy="3832860"/>
            <wp:effectExtent l="0" t="0" r="635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2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</w:pPr>
      <w:r>
        <w:rPr>
          <w:rFonts w:hint="eastAsia"/>
          <w:sz w:val="30"/>
          <w:szCs w:val="30"/>
          <w:lang w:val="en-US" w:eastAsia="zh-CN"/>
        </w:rPr>
        <w:t>①代宰物料绑定设置：数据导出设置，操作接口为代宰结算。</w:t>
      </w:r>
      <w:r>
        <w:drawing>
          <wp:inline distT="0" distB="0" distL="114300" distR="114300">
            <wp:extent cx="5267960" cy="30829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8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对ERP物料与K3物料进行对应，同时选择仓库属性。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②设置数据读写参数：账套：肉业公司，业务类型：代宰结算。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8595" cy="3083560"/>
            <wp:effectExtent l="0" t="0" r="8255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设置参数对应字段值，固定值为指定写入K3账套数据值，保留值无需指定，系统进行转换处理。</w:t>
      </w: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代宰费用设置：系统设置，财务设置，代宰费用设置。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777615"/>
            <wp:effectExtent l="0" t="0" r="8890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7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设置基准项目，空白区域右键添加。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1476375" cy="1343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设置编码，名称，金额，收费方式（按头收费指结算时按收费金额x结算头数计算金额，按批收费指单张单据收取一次费用）。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设置客户费用项目，选择已建的基准项目，作为客户客户执行的费用项目，结算时自动获取。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412490"/>
            <wp:effectExtent l="0" t="0" r="381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2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二 操作说明</w:t>
      </w:r>
    </w:p>
    <w:p>
      <w:pPr>
        <w:numPr>
          <w:ilvl w:val="0"/>
          <w:numId w:val="2"/>
        </w:numPr>
        <w:tabs>
          <w:tab w:val="clear" w:pos="312"/>
        </w:tabs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代宰送宰：采购，送宰安排中对代宰客户进行送宰操作。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834130"/>
            <wp:effectExtent l="0" t="0" r="381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2.代宰结算：财务，代宰结算，增加代宰结算单。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3749675"/>
            <wp:effectExtent l="0" t="0" r="635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输入客户名称，点击获取数据（如进行送宰，系统会获取当前客户送宰数据，未送宰需手动填写数量。）费用项目可继续添加或右键删除。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编辑完成后，点击保存，系统会判断当前时间点该客户信用额度，如额度不足，需打款或者通过账号密码确认才能保存，额度充足则直接保存通过。</w:t>
      </w:r>
    </w:p>
    <w:p>
      <w:pPr>
        <w:numPr>
          <w:ilvl w:val="0"/>
          <w:numId w:val="0"/>
        </w:numPr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保存完成后，选定客户，点击打印按钮，打印放行单。</w:t>
      </w:r>
    </w:p>
    <w:p>
      <w:pPr>
        <w:numPr>
          <w:ilvl w:val="0"/>
          <w:numId w:val="0"/>
        </w:numPr>
        <w:jc w:val="left"/>
      </w:pPr>
      <w:r>
        <w:drawing>
          <wp:inline distT="0" distB="0" distL="114300" distR="114300">
            <wp:extent cx="5267960" cy="3275330"/>
            <wp:effectExtent l="0" t="0" r="889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75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067685"/>
            <wp:effectExtent l="0" t="0" r="6350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5CA24"/>
    <w:multiLevelType w:val="singleLevel"/>
    <w:tmpl w:val="07B5CA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E0CEECB"/>
    <w:multiLevelType w:val="singleLevel"/>
    <w:tmpl w:val="2E0CEE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E47E98"/>
    <w:rsid w:val="0E3B66E1"/>
    <w:rsid w:val="11453D3B"/>
    <w:rsid w:val="12A20232"/>
    <w:rsid w:val="1A592695"/>
    <w:rsid w:val="21001344"/>
    <w:rsid w:val="38B42E1E"/>
    <w:rsid w:val="3CE47E98"/>
    <w:rsid w:val="5DE707E0"/>
    <w:rsid w:val="67700D50"/>
    <w:rsid w:val="6A7C5828"/>
    <w:rsid w:val="6D535020"/>
    <w:rsid w:val="701402D2"/>
    <w:rsid w:val="7F770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2018-11-29T02:58:00Z</dcterms:created>
  <dc:creator>admin</dc:creator>
  <cp:lastModifiedBy>admin</cp:lastModifiedBy>
  <dcterms:modified xsi:type="dcterms:W3CDTF">2018-11-29T04:02:32Z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2052-10.1.0.7668</vt:lpwstr>
  </property>
</Properties>
</file>